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Medical</w:t>
      </w:r>
      <w:r>
        <w:t xml:space="preserve"> </w:t>
      </w:r>
      <w:r>
        <w:t xml:space="preserve">Researcher</w:t>
      </w:r>
      <w:r>
        <w:t xml:space="preserve"> </w:t>
      </w:r>
      <w:r>
        <w:t xml:space="preserve">Lab</w:t>
      </w:r>
      <w:r>
        <w:t xml:space="preserve"> </w:t>
      </w:r>
      <w:r>
        <w:t xml:space="preserve">Report:</w:t>
      </w:r>
      <w:r>
        <w:t xml:space="preserve"> </w:t>
      </w:r>
      <w:r>
        <w:t xml:space="preserve">Clinical</w:t>
      </w:r>
      <w:r>
        <w:t xml:space="preserve"> </w:t>
      </w:r>
      <w:r>
        <w:t xml:space="preserve">Epidemiological</w:t>
      </w:r>
      <w:r>
        <w:t xml:space="preserve"> </w:t>
      </w:r>
      <w:r>
        <w:t xml:space="preserve">Study</w:t>
      </w:r>
      <w:r>
        <w:t xml:space="preserve"> </w:t>
      </w:r>
      <w:r>
        <w:t xml:space="preserve">in</w:t>
      </w:r>
      <w:r>
        <w:t xml:space="preserve"> </w:t>
      </w:r>
      <w:r>
        <w:t xml:space="preserve">New</w:t>
      </w:r>
      <w:r>
        <w:t xml:space="preserve"> </w:t>
      </w:r>
      <w:r>
        <w:t xml:space="preserve">Delhi</w:t>
      </w:r>
    </w:p>
    <w:p>
      <w:pPr>
        <w:pStyle w:val="FirstParagraph"/>
      </w:pPr>
      <w:r>
        <w:t xml:space="preserve">CONFIDENTIAL</w:t>
      </w:r>
    </w:p>
    <w:p>
      <w:pPr>
        <w:pStyle w:val="BodyText"/>
      </w:pPr>
      <w:r>
        <w:t xml:space="preserve">National Institute of Advanced Medical Sciences &amp; Epidemiology</w:t>
      </w:r>
    </w:p>
    <w:p>
      <w:pPr>
        <w:pStyle w:val="BodyText"/>
      </w:pPr>
      <w:r>
        <w:t xml:space="preserve">New Delhi, India | Post Box 45021 | Sector 7, Laxmi Nagar</w:t>
      </w:r>
    </w:p>
    <w:bookmarkStart w:id="20" w:name="X2c0c1b9025e6fadc58b43c9ae80814fd9bf8884"/>
    <w:p>
      <w:pPr>
        <w:pStyle w:val="Heading1"/>
      </w:pPr>
      <w:r>
        <w:t xml:space="preserve">Medical Researcher Lab Report: Comparative Efficacy of Novel Antimicrobial Agents in Multi-Drug Resistant Pathogens</w:t>
      </w:r>
    </w:p>
    <w:p>
      <w:pPr>
        <w:pStyle w:val="FirstParagraph"/>
      </w:pPr>
      <w:r>
        <w:rPr>
          <w:bCs/>
          <w:b/>
        </w:rPr>
        <w:t xml:space="preserve">Date:</w:t>
      </w:r>
      <w:r>
        <w:t xml:space="preserve"> </w:t>
      </w:r>
      <w:r>
        <w:t xml:space="preserve">October 24, 2023 |</w:t>
      </w:r>
      <w:r>
        <w:t xml:space="preserve"> </w:t>
      </w:r>
      <w:r>
        <w:rPr>
          <w:bCs/>
          <w:b/>
        </w:rPr>
        <w:t xml:space="preserve">Report ID:</w:t>
      </w:r>
      <w:r>
        <w:t xml:space="preserve"> </w:t>
      </w:r>
      <w:r>
        <w:t xml:space="preserve">MR-NDL-8990-X |</w:t>
      </w:r>
      <w:r>
        <w:t xml:space="preserve"> </w:t>
      </w:r>
      <w:r>
        <w:rPr>
          <w:bCs/>
          <w:b/>
        </w:rPr>
        <w:t xml:space="preserve">Status:</w:t>
      </w:r>
      <w:r>
        <w:t xml:space="preserve"> </w:t>
      </w:r>
      <w:r>
        <w:t xml:space="preserve">Finalized</w:t>
      </w:r>
    </w:p>
    <w:bookmarkEnd w:id="20"/>
    <w:bookmarkStart w:id="21" w:name="i.-introduction-and-research-context"/>
    <w:p>
      <w:pPr>
        <w:pStyle w:val="Heading2"/>
      </w:pPr>
      <w:r>
        <w:t xml:space="preserve">I. Introduction and Research Context</w:t>
      </w:r>
    </w:p>
    <w:p>
      <w:pPr>
        <w:pStyle w:val="FirstParagraph"/>
      </w:pPr>
      <w:r>
        <w:t xml:space="preserve">The present Medical Researcher Lab Report outlines a comprehensive clinical investigation conducted within the bustling urban landscape of India New Delhi. As one of the world's most densely populated metropolitan areas, India New Delhi presents a unique epidemiological challenge, characterized by high rates of antimicrobial resistance (AMR) and complex infectious disease profiles. The primary objective of this study was to evaluate the efficacy and safety profile of a novel broad-spectrum antimicrobial agent against multi-drug resistant (MDR) Gram-negative bacteria prevalent in hospital-acquired infections within the capital region.</w:t>
      </w:r>
    </w:p>
    <w:p>
      <w:pPr>
        <w:pStyle w:val="BodyText"/>
      </w:pPr>
      <w:r>
        <w:t xml:space="preserve">Medical Researcher protocols were strictly adhered to throughout the duration of this trial, ensuring that all laboratory procedures met international Good Laboratory Practice (GLP) standards and were approved by the Institutional Ethics Committee of India New Delhi. The dense population dynamics combined with varying levels of public health infrastructure in different districts of India New Delhi provide a critical testing ground for understanding how environmental factors influence microbial evolution and treatment outcomes.</w:t>
      </w:r>
    </w:p>
    <w:bookmarkEnd w:id="21"/>
    <w:bookmarkStart w:id="25" w:name="ii.-methodology"/>
    <w:p>
      <w:pPr>
        <w:pStyle w:val="Heading2"/>
      </w:pPr>
      <w:r>
        <w:t xml:space="preserve">II. Methodology</w:t>
      </w:r>
    </w:p>
    <w:bookmarkStart w:id="22" w:name="a.-study-design-and-population"/>
    <w:p>
      <w:pPr>
        <w:pStyle w:val="Heading3"/>
      </w:pPr>
      <w:r>
        <w:t xml:space="preserve">A. Study Design and Population</w:t>
      </w:r>
    </w:p>
    <w:p>
      <w:pPr>
        <w:pStyle w:val="FirstParagraph"/>
      </w:pPr>
      <w:r>
        <w:t xml:space="preserve">This randomized controlled trial involved a cohort of 450 patients admitted to tertiary care hospitals across various districts of India New Delhi between January 2023 and August 2023. Patients were stratified based on infection severity, age, and pre-existing comorbidities. The inclusion criteria required confirmed culture-positive diagnosis of MDR pathogens such as</w:t>
      </w:r>
      <w:r>
        <w:t xml:space="preserve"> </w:t>
      </w:r>
      <w:r>
        <w:rPr>
          <w:iCs/>
          <w:i/>
        </w:rPr>
        <w:t xml:space="preserve">Klebsiella pneumoniae</w:t>
      </w:r>
      <w:r>
        <w:t xml:space="preserve">,</w:t>
      </w:r>
      <w:r>
        <w:t xml:space="preserve"> </w:t>
      </w:r>
      <w:r>
        <w:rPr>
          <w:iCs/>
          <w:i/>
        </w:rPr>
        <w:t xml:space="preserve">Escherichia coli</w:t>
      </w:r>
      <w:r>
        <w:t xml:space="preserve">, and</w:t>
      </w:r>
      <w:r>
        <w:t xml:space="preserve"> </w:t>
      </w:r>
      <w:r>
        <w:rPr>
          <w:iCs/>
          <w:i/>
        </w:rPr>
        <w:t xml:space="preserve">Pseudomonas aeruginosa</w:t>
      </w:r>
      <w:r>
        <w:t xml:space="preserve">. Exclusion criteria included pregnancy, severe renal impairment (Creatinine Clearance &lt; 30 mL/min), or known hypersensitivity to beta-lactam antibiotics.</w:t>
      </w:r>
    </w:p>
    <w:bookmarkEnd w:id="22"/>
    <w:bookmarkStart w:id="23" w:name="X3cf75a8eb8624bede5a9ea8bfc647b6407df92e"/>
    <w:p>
      <w:pPr>
        <w:pStyle w:val="Heading3"/>
      </w:pPr>
      <w:r>
        <w:t xml:space="preserve">B. Sample Collection and Laboratory Processing</w:t>
      </w:r>
    </w:p>
    <w:p>
      <w:pPr>
        <w:pStyle w:val="FirstParagraph"/>
      </w:pPr>
      <w:r>
        <w:t xml:space="preserve">All biological samples, including blood cultures, urine specimens, and wound swabs, were collected using sterile techniques to prevent contamination. Samples were transported in specialized cold-chain logistics containers to the central laboratory facility located in India New Delhi. Upon arrival at the lab, Medical Researcher staff processed specimens within two hours of collection. Microbiological identification was performed using automated matrix-assisted laser desorption/ionization time-of-flight (MALDI-TOF) mass spectrometry, followed by antimicrobial susceptibility testing via the Kirby-Bauer disk diffusion method and minimum inhibitory concentration (MIC) determination using broth microdilution.</w:t>
      </w:r>
    </w:p>
    <w:bookmarkEnd w:id="23"/>
    <w:bookmarkStart w:id="24" w:name="c.-data-analysis"/>
    <w:p>
      <w:pPr>
        <w:pStyle w:val="Heading3"/>
      </w:pPr>
      <w:r>
        <w:t xml:space="preserve">C. Data Analysis</w:t>
      </w:r>
    </w:p>
    <w:p>
      <w:pPr>
        <w:pStyle w:val="FirstParagraph"/>
      </w:pPr>
      <w:r>
        <w:t xml:space="preserve">Data were analyzed using SPSS version 28.0 statistical software. Continuous variables were presented as means with standard deviations, while categorical variables were expressed as frequencies and percentages. Efficacy was measured by clinical cure rates at the end of treatment (day 14) and follow-up (day 30). Safety profiles were monitored through regular assessment of liver enzymes, renal function markers, and incidence of adverse drug reactions.</w:t>
      </w:r>
    </w:p>
    <w:bookmarkEnd w:id="24"/>
    <w:bookmarkEnd w:id="25"/>
    <w:bookmarkStart w:id="26" w:name="iii.-results"/>
    <w:p>
      <w:pPr>
        <w:pStyle w:val="Heading2"/>
      </w:pPr>
      <w:r>
        <w:t xml:space="preserve">III. Results</w:t>
      </w:r>
    </w:p>
    <w:p>
      <w:pPr>
        <w:pStyle w:val="FirstParagraph"/>
      </w:pPr>
      <w:r>
        <w:t xml:space="preserve">The study population exhibited significant demographic diversity reflective of the broader population structure in India New Delhi. The mean age of participants was 54 years, with a slight male predominance (58%). The baseline characteristics were well-balanced between the treatment and control groups.</w:t>
      </w:r>
    </w:p>
    <w:p>
      <w:pPr>
        <w:pStyle w:val="BodyText"/>
      </w:pPr>
      <w:r>
        <w:t xml:space="preserve">Metric</w:t>
      </w:r>
    </w:p>
    <w:p>
      <w:pPr>
        <w:pStyle w:val="BodyText"/>
      </w:pPr>
      <w:r>
        <w:t xml:space="preserve">Treatment Group (n=225)</w:t>
      </w:r>
    </w:p>
    <w:p>
      <w:pPr>
        <w:pStyle w:val="BodyText"/>
      </w:pPr>
      <w:r>
        <w:t xml:space="preserve">Control Group (n=225)</w:t>
      </w:r>
    </w:p>
    <w:p>
      <w:pPr>
        <w:pStyle w:val="BodyText"/>
      </w:pPr>
      <w:r>
        <w:t xml:space="preserve">/* Explicit text color setting to prevent theme override issues */</w:t>
      </w:r>
    </w:p>
    <w:p>
      <w:pPr>
        <w:pStyle w:val="BodyText"/>
      </w:pPr>
      <w:r>
        <w:t xml:space="preserve">Clinical Cure Rate (%)</w:t>
      </w:r>
    </w:p>
    <w:p>
      <w:pPr>
        <w:pStyle w:val="BodyText"/>
      </w:pPr>
      <w:r>
        <w:t xml:space="preserve">82.4%</w:t>
      </w:r>
    </w:p>
    <w:p>
      <w:pPr>
        <w:pStyle w:val="BodyText"/>
      </w:pPr>
      <w:r>
        <w:t xml:space="preserve">65.3%</w:t>
      </w:r>
    </w:p>
    <w:p>
      <w:pPr>
        <w:pStyle w:val="BodyText"/>
      </w:pPr>
      <w:r>
        <w:t xml:space="preserve">/* Alternating row shading for improved readability */</w:t>
      </w:r>
    </w:p>
    <w:p>
      <w:pPr>
        <w:pStyle w:val="BodyText"/>
      </w:pPr>
      <w:r>
        <w:t xml:space="preserve">Mild Adverse Events (%)</w:t>
      </w:r>
    </w:p>
    <w:p>
      <w:pPr>
        <w:pStyle w:val="BodyText"/>
      </w:pPr>
      <w:r>
        <w:t xml:space="preserve">/* Specific categorization of minor side effects reported */</w:t>
      </w:r>
    </w:p>
    <w:p>
      <w:pPr>
        <w:pStyle w:val="BodyText"/>
      </w:pPr>
      <w:r>
        <w:t xml:space="preserve">12.0%</w:t>
      </w:r>
    </w:p>
    <w:p>
      <w:pPr>
        <w:pStyle w:val="BodyText"/>
      </w:pPr>
      <w:r>
        <w:t xml:space="preserve">/* Percentage value indicating low risk profile observed */</w:t>
      </w:r>
    </w:p>
    <w:p>
      <w:pPr>
        <w:pStyle w:val="BodyText"/>
      </w:pPr>
      <w:r>
        <w:t xml:space="preserve">15.6%</w:t>
      </w:r>
    </w:p>
    <w:p>
      <w:pPr>
        <w:pStyle w:val="BodyText"/>
      </w:pPr>
      <w:r>
        <w:t xml:space="preserve">/* Slightly higher incidence noted in comparative control arm */</w:t>
      </w:r>
    </w:p>
    <w:p>
      <w:pPr>
        <w:pStyle w:val="BodyText"/>
      </w:pPr>
      <w:r>
        <w:t xml:space="preserve">/* White background for alternating pattern restoration */</w:t>
      </w:r>
    </w:p>
    <w:p>
      <w:pPr>
        <w:pStyle w:val="BodyText"/>
      </w:pPr>
      <w:r>
        <w:t xml:space="preserve">Serious Adverse Events (%)</w:t>
      </w:r>
    </w:p>
    <w:p>
      <w:pPr>
        <w:pStyle w:val="BodyText"/>
      </w:pPr>
      <w:r>
        <w:t xml:space="preserve">/* Critical safety endpoint definition applied here */</w:t>
      </w:r>
    </w:p>
    <w:p>
      <w:pPr>
        <w:pStyle w:val="BodyText"/>
      </w:pPr>
      <w:r>
        <w:t xml:space="preserve">2.1%</w:t>
      </w:r>
    </w:p>
    <w:p>
      <w:pPr>
        <w:pStyle w:val="BodyText"/>
      </w:pPr>
      <w:r>
        <w:t xml:space="preserve">/* Very low percentage suggesting high safety margin overall */</w:t>
      </w:r>
    </w:p>
    <w:p>
      <w:pPr>
        <w:pStyle w:val="BodyText"/>
      </w:pPr>
      <w:r>
        <w:t xml:space="preserve">3.5%</w:t>
      </w:r>
    </w:p>
    <w:p>
      <w:pPr>
        <w:pStyle w:val="BodyText"/>
      </w:pPr>
      <w:r>
        <w:t xml:space="preserve">/* Marginally elevated rate compared to the experimental intervention group */</w:t>
      </w:r>
    </w:p>
    <w:p>
      <w:pPr>
        <w:pStyle w:val="BodyText"/>
      </w:pPr>
      <w:r>
        <w:t xml:space="preserve">/* Container closing tag with bottom margin for visual separation below table block */</w:t>
      </w:r>
    </w:p>
    <w:p>
      <w:pPr>
        <w:pStyle w:val="BodyText"/>
      </w:pPr>
      <w:r>
        <w:t xml:space="preserve">The novel agent demonstrated superior bactericidal activity against carbapenem-resistant strains. In vitro assays indicated that the new compound maintained efficacy even in environments with high efflux pump activity, a common resistance mechanism observed in isolates from India New Delhi hospitals.</w:t>
      </w:r>
    </w:p>
    <w:bookmarkEnd w:id="26"/>
    <w:bookmarkStart w:id="27" w:name="iv.-discussion"/>
    <w:p>
      <w:pPr>
        <w:pStyle w:val="Heading2"/>
      </w:pPr>
      <w:r>
        <w:t xml:space="preserve">IV. Discussion</w:t>
      </w:r>
    </w:p>
    <w:p>
      <w:pPr>
        <w:pStyle w:val="FirstParagraph"/>
      </w:pPr>
      <w:r>
        <w:t xml:space="preserve">The findings of this Medical Researcher Lab Report underscore the urgent need for innovative therapeutic strategies against MDR infections in urban Indian settings. The high prevalence of resistant strains in India New Delhi is likely driven by factors such as antibiotic misuse, dense population interactions, and environmental contamination from industrial and household waste entering local water systems.</w:t>
      </w:r>
    </w:p>
    <w:p>
      <w:pPr>
        <w:pStyle w:val="BodyText"/>
      </w:pPr>
      <w:r>
        <w:t xml:space="preserve">The significantly higher clinical cure rate observed in the treatment group suggests that the novel agent could serve as a vital addition to the therapeutic arsenal against Gram-negative infections. Furthermore, the favorable safety profile implies that this drug may be suitable for patients with compromised renal function, a demographic frequently encountered in geriatric care units across India New Delhi.</w:t>
      </w:r>
    </w:p>
    <w:p>
      <w:pPr>
        <w:pStyle w:val="BodyText"/>
      </w:pPr>
      <w:r>
        <w:t xml:space="preserve">However, it is important to note limitations inherent to single-center studies. While this trial was robust, the specific microbial ecology of India New Delhi may differ from other regions in India or globally. Therefore, multi-center trials encompassing diverse geographical areas within and outside the National Capital Region are warranted.</w:t>
      </w:r>
    </w:p>
    <w:bookmarkEnd w:id="27"/>
    <w:bookmarkStart w:id="28" w:name="v.-conclusion"/>
    <w:p>
      <w:pPr>
        <w:pStyle w:val="Heading2"/>
      </w:pPr>
      <w:r>
        <w:t xml:space="preserve">V. Conclusion</w:t>
      </w:r>
    </w:p>
    <w:p>
      <w:pPr>
        <w:pStyle w:val="FirstParagraph"/>
      </w:pPr>
      <w:r>
        <w:t xml:space="preserve">In conclusion, this Medical Researcher Lab Report provides compelling evidence supporting the efficacy and safety of the novel antimicrobial agent in treating MDR infections prevalent in India New Delhi. The data highlight a clear clinical benefit over standard care regimens, offering hope for improved patient outcomes in one of the world's most challenging epidemiological environments.</w:t>
      </w:r>
    </w:p>
    <w:p>
      <w:pPr>
        <w:pStyle w:val="BodyText"/>
      </w:pPr>
      <w:r>
        <w:t xml:space="preserve">Future research should focus on long-term follow-up to assess the potential for resistance development against this new compound. Additionally, pharmacoeconomic analyses are necessary to determine cost-effectiveness within the public healthcare framework of India New Delhi. Continued collaboration between medical researchers, policymakers, and hospital administrators will be crucial in implementing these findings effectively.</w:t>
      </w:r>
    </w:p>
    <w:bookmarkEnd w:id="28"/>
    <w:bookmarkStart w:id="29" w:name="vi.-references"/>
    <w:p>
      <w:pPr>
        <w:pStyle w:val="Heading2"/>
      </w:pPr>
      <w:r>
        <w:t xml:space="preserve">VI. References</w:t>
      </w:r>
    </w:p>
    <w:p>
      <w:pPr>
        <w:numPr>
          <w:ilvl w:val="0"/>
          <w:numId w:val="1001"/>
        </w:numPr>
        <w:pStyle w:val="Compact"/>
      </w:pPr>
      <w:r>
        <w:t xml:space="preserve">Kumar, A., et al. (2021). "Antimicrobial Resistance Trends in South Asia." *Journal of Infectious Diseases*, 45(3), pp. 112-120.</w:t>
      </w:r>
    </w:p>
    <w:p>
      <w:pPr>
        <w:numPr>
          <w:ilvl w:val="0"/>
          <w:numId w:val="1001"/>
        </w:numPr>
        <w:pStyle w:val="Compact"/>
      </w:pPr>
      <w:r>
        <w:t xml:space="preserve">Gupta, S., &amp; Sharma, R. (2020). "Epidemiology of Hospital-Acquired Infections in Urban India." *Indian Journal of Medical Research*, 78(9), pp. 45-56.</w:t>
      </w:r>
    </w:p>
    <w:p>
      <w:pPr>
        <w:numPr>
          <w:ilvl w:val="0"/>
          <w:numId w:val="1001"/>
        </w:numPr>
        <w:pStyle w:val="Compact"/>
      </w:pPr>
      <w:r>
        <w:t xml:space="preserve">World Health Organization. (2018). "Global Antimicrobial Resistance and Use Surveillance System (GLASS) Report." Geneva: WHO Press.</w:t>
      </w:r>
    </w:p>
    <w:p>
      <w:pPr>
        <w:pStyle w:val="FirstParagraph"/>
      </w:pPr>
      <w:r>
        <w:rPr>
          <w:bCs/>
          <w:b/>
        </w:rPr>
        <w:t xml:space="preserve">Principal Investigator:</w:t>
      </w:r>
    </w:p>
    <w:p>
      <w:pPr>
        <w:pStyle w:val="BodyText"/>
      </w:pPr>
      <w:r>
        <w:rPr>
          <w:iCs/>
          <w:i/>
        </w:rPr>
        <w:t xml:space="preserve">Dr. Anjali Verma, MD, PhD</w:t>
      </w:r>
    </w:p>
    <w:p>
      <w:pPr>
        <w:pStyle w:val="BodyText"/>
      </w:pPr>
      <w:r>
        <w:t xml:space="preserve">Distinguished Professor of Microbiology</w:t>
      </w:r>
    </w:p>
    <w:p>
      <w:pPr>
        <w:pStyle w:val="BodyText"/>
      </w:pPr>
      <w:r>
        <w:t xml:space="preserve">National Institute of Advanced Medical Sciences &amp; Epidemiology</w:t>
      </w:r>
    </w:p>
    <w:p>
      <w:r>
        <w:pict>
          <v:rect style="width:0;height:1.5pt" o:hralign="center" o:hrstd="t" o:hr="t"/>
        </w:pict>
      </w:r>
    </w:p>
    <w:p>
      <w:pPr>
        <w:pStyle w:val="FirstParagraph"/>
      </w:pPr>
      <w:r>
        <w:rPr>
          <w:bCs/>
          <w:b/>
        </w:rPr>
        <w:t xml:space="preserve">Disclaimer:</w:t>
      </w:r>
      <w:r>
        <w:t xml:space="preserve"> </w:t>
      </w:r>
      <w:r>
        <w:t xml:space="preserve">This Medical Researcher Lab Report contains confidential information intended solely for authorized personnel associated with the study of India New Delhi medical initiatives. Unauthorized distribution or reproduction is strictly prohibited.</w:t>
      </w:r>
    </w:p>
    <w:p>
      <w:pPr>
        <w:pStyle w:val="BodyText"/>
      </w:pPr>
      <w:r>
        <w:t xml:space="preserve">/* Aligns footer content to the left side of page width container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Medical Researcher Lab Report: Clinical Epidemiological Study in New Delhi</dc:title>
  <dc:creator/>
  <dc:language>en</dc:language>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