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Research</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Iraq</w:t>
      </w:r>
      <w:r>
        <w:t xml:space="preserve"> </w:t>
      </w:r>
      <w:r>
        <w:t xml:space="preserve">Baghdad</w:t>
      </w:r>
    </w:p>
    <w:bookmarkStart w:id="28" w:name="Xe690d0d97f465b5e48f60bba1af059bc1088936"/>
    <w:p>
      <w:pPr>
        <w:pStyle w:val="Heading1"/>
      </w:pPr>
      <w:r>
        <w:t xml:space="preserve">Laboratory Report on Clinical and Epidemiological Medical Researcher Activities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Baghdad, Iraq</w:t>
      </w:r>
      <w:r>
        <w:br/>
      </w:r>
      <w:r>
        <w:rPr>
          <w:bCs/>
          <w:b/>
        </w:rPr>
        <w:t xml:space="preserve">Institution:</w:t>
      </w:r>
      <w:r>
        <w:t xml:space="preserve"> </w:t>
      </w:r>
      <w:r>
        <w:t xml:space="preserve">Institute of Medical Research &amp; Development</w:t>
      </w:r>
    </w:p>
    <w:p>
      <w:pPr>
        <w:pStyle w:val="BodyText"/>
      </w:pPr>
      <w:r>
        <w:t xml:space="preserve">&gt;</w:t>
      </w:r>
    </w:p>
    <w:bookmarkStart w:id="20" w:name="i.-executive-summary"/>
    <w:p>
      <w:pPr>
        <w:pStyle w:val="Heading3"/>
      </w:pPr>
      <w:r>
        <w:t xml:space="preserve">I. Executive Summary</w:t>
      </w:r>
    </w:p>
    <w:p>
      <w:pPr>
        <w:pStyle w:val="FirstParagraph"/>
      </w:pPr>
      <w:r>
        <w:t xml:space="preserve">&gt;</w:t>
      </w:r>
      <w:r>
        <w:t xml:space="preserve"> </w:t>
      </w:r>
      <w:r>
        <w:t xml:space="preserve">The purpose of this comprehensive Lab Report is to document the findings, methodologies, and operational challenges encountered by the designated Medical Researcher team operating within Iraq Baghdad. This document serves as a critical record for regulatory compliance, future grant applications, and academic dissemination. The primary objective of these studies has been to address persistent public health crises specific to the region, including waterborne diseases post-infrastructure restoration and emerging antibiotic resistance patterns in local bacterial strains. As a Medical Researcher engaged in this complex environment, it is imperative to maintain rigorous scientific standards while navigating the unique socio-political and infrastructural landscape of Iraq Baghdad.</w:t>
      </w:r>
    </w:p>
    <w:bookmarkEnd w:id="20"/>
    <w:bookmarkStart w:id="21" w:name="ii.-introduction-and-background"/>
    <w:p>
      <w:pPr>
        <w:pStyle w:val="Heading3"/>
      </w:pPr>
      <w:r>
        <w:t xml:space="preserve">II. Introduction and Background</w:t>
      </w:r>
    </w:p>
    <w:p>
      <w:pPr>
        <w:pStyle w:val="FirstParagraph"/>
      </w:pPr>
      <w:r>
        <w:t xml:space="preserve">&gt;</w:t>
      </w:r>
      <w:r>
        <w:t xml:space="preserve"> </w:t>
      </w:r>
      <w:r>
        <w:t xml:space="preserve">The Republic of Iraq, with its capital at Baghdad, presents a distinct epidemiological profile that requires specialized medical research approaches. Decades of conflict have impacted public health infrastructure, leading to gaps in sanitation systems and vaccination coverage. Consequently, the role of the Medical Researcher in Iraq Baghdad has evolved from purely observational studies to active intervention-based research aimed at rebuilding healthcare resilience.</w:t>
      </w:r>
      <w:r>
        <w:t xml:space="preserve"> </w:t>
      </w:r>
      <w:r>
        <w:t xml:space="preserve">Previous studies conducted by international bodies have highlighted high rates of Hepatitis C, Schistosomiasis, and vector-borne diseases such as Leishmaniasis in various provinces surrounding Baghdad. However, there remains a significant scarcity of localized data generated by indigenous medical researcher teams who understand the cultural nuances and environmental specificities of the region. This report details our efforts to bridge that gap through rigorous laboratory analysis and clinical trials conducted within designated facilities in central Iraq Baghdad.</w:t>
      </w:r>
    </w:p>
    <w:bookmarkEnd w:id="21"/>
    <w:bookmarkStart w:id="22" w:name="iii.-methodology"/>
    <w:p>
      <w:pPr>
        <w:pStyle w:val="Heading3"/>
      </w:pPr>
      <w:r>
        <w:t xml:space="preserve">III. Methodology</w:t>
      </w:r>
    </w:p>
    <w:p>
      <w:pPr>
        <w:pStyle w:val="FirstParagraph"/>
      </w:pPr>
      <w:r>
        <w:t xml:space="preserve">&gt;</w:t>
      </w:r>
      <w:r>
        <w:t xml:space="preserve"> </w:t>
      </w:r>
      <w:r>
        <w:t xml:space="preserve">To ensure the validity of our findings, a multi-phase research protocol was implemented by the Medical Researcher team in accordance with international ethical standards (IRB approval #2023-IQ-099). The methodology is divided into three core components: sample collection, laboratory analysis, and data interpretation.</w:t>
      </w:r>
    </w:p>
    <w:p>
      <w:pPr>
        <w:pStyle w:val="BodyText"/>
      </w:pPr>
      <w:r>
        <w:rPr>
          <w:bCs/>
          <w:b/>
        </w:rPr>
        <w:t xml:space="preserve">1. Sample Collection:</w:t>
      </w:r>
      <w:r>
        <w:t xml:space="preserve">&gt;</w:t>
      </w:r>
      <w:r>
        <w:t xml:space="preserve"> </w:t>
      </w:r>
      <w:r>
        <w:t xml:space="preserve">Blood and water samples were collected from five major districts in Iraq Baghdad. A total of 1,500 participants were recruited through local community health centers. The selection process ensured a diverse demographic representation across age groups and socioeconomic statuses to mitigate bias. Special care was taken to maintain the cold chain during transport from field sites to the central laboratory in Iraq Baghdad, utilizing validated temperature monitoring devices.</w:t>
      </w:r>
    </w:p>
    <w:p>
      <w:pPr>
        <w:pStyle w:val="BodyText"/>
      </w:pPr>
      <w:r>
        <w:t xml:space="preserve">&gt;</w:t>
      </w:r>
    </w:p>
    <w:p>
      <w:pPr>
        <w:pStyle w:val="BodyText"/>
      </w:pPr>
      <w:r>
        <w:rPr>
          <w:bCs/>
          <w:b/>
        </w:rPr>
        <w:t xml:space="preserve">2. Laboratory Analysis:</w:t>
      </w:r>
      <w:r>
        <w:t xml:space="preserve">&gt;</w:t>
      </w:r>
      <w:r>
        <w:t xml:space="preserve"> </w:t>
      </w:r>
      <w:r>
        <w:t xml:space="preserve">Upon receipt at the laboratory facilities managed by the Medical Researcher, samples underwent immediate processing. Water samples were analyzed for coliform bacteria and heavy metal contamination using high-performance liquid chromatography (HPLC). Biological specimens from human subjects were screened for serological markers of Hepatitis C virus (HCV), Leishmania donovani, and common respiratory pathogens. Genetic sequencing was employed to identify antibiotic-resistant genes in bacterial isolates.</w:t>
      </w:r>
    </w:p>
    <w:p>
      <w:pPr>
        <w:pStyle w:val="BodyText"/>
      </w:pPr>
      <w:r>
        <w:t xml:space="preserve">&gt;</w:t>
      </w:r>
    </w:p>
    <w:p>
      <w:pPr>
        <w:pStyle w:val="BodyText"/>
      </w:pPr>
      <w:r>
        <w:rPr>
          <w:bCs/>
          <w:b/>
        </w:rPr>
        <w:t xml:space="preserve">3. Data Interpretation:</w:t>
      </w:r>
      <w:r>
        <w:t xml:space="preserve">&gt;</w:t>
      </w:r>
      <w:r>
        <w:t xml:space="preserve"> </w:t>
      </w:r>
      <w:r>
        <w:t xml:space="preserve">Statistical analysis was performed using SPSS software version 28.0. The Medical Researcher team utilized logistic regression models to assess risk factors associated with disease prevalence in Iraq Baghdad, controlling for variables such as age, gender, and exposure history.</w:t>
      </w:r>
    </w:p>
    <w:p>
      <w:pPr>
        <w:pStyle w:val="BodyText"/>
      </w:pPr>
      <w:r>
        <w:t xml:space="preserve">&gt;</w:t>
      </w:r>
    </w:p>
    <w:bookmarkEnd w:id="22"/>
    <w:bookmarkStart w:id="23" w:name="iv.-results"/>
    <w:p>
      <w:pPr>
        <w:pStyle w:val="Heading3"/>
      </w:pPr>
      <w:r>
        <w:t xml:space="preserve">IV. Results</w:t>
      </w:r>
    </w:p>
    <w:p>
      <w:pPr>
        <w:pStyle w:val="FirstParagraph"/>
      </w:pPr>
      <w:r>
        <w:t xml:space="preserve">&gt;</w:t>
      </w:r>
      <w:r>
        <w:t xml:space="preserve"> </w:t>
      </w:r>
      <w:r>
        <w:t xml:space="preserve">The data collected by the Medical Researcher indicates concerning trends that reflect the ongoing health challenges in Iraq Baghdad.</w:t>
      </w:r>
    </w:p>
    <w:p>
      <w:pPr>
        <w:numPr>
          <w:ilvl w:val="0"/>
          <w:numId w:val="1001"/>
        </w:numPr>
        <w:pStyle w:val="Compact"/>
      </w:pPr>
      <w:r>
        <w:rPr>
          <w:bCs/>
          <w:b/>
        </w:rPr>
        <w:t xml:space="preserve">Infectious Disease Prevalence:</w:t>
      </w:r>
      <w:r>
        <w:t xml:space="preserve">&gt; Approximately 14% of the tested population showed serological evidence of past or current Hepatitis C infection. While this is lower than historical peaks, it remains significantly above global averages. Furthermore, cutaneous Leishmaniasis cases were detected in 8% of participants living in the older, densely populated districts of central Iraq Baghdad.</w:t>
      </w:r>
    </w:p>
    <w:p>
      <w:pPr>
        <w:numPr>
          <w:ilvl w:val="0"/>
          <w:numId w:val="1001"/>
        </w:numPr>
        <w:pStyle w:val="Compact"/>
      </w:pPr>
      <w:r>
        <w:rPr>
          <w:bCs/>
          <w:b/>
        </w:rPr>
        <w:t xml:space="preserve">Water Quality:</w:t>
      </w:r>
      <w:r>
        <w:t xml:space="preserve">&gt; Analysis revealed that 22% of tap water samples exceeded WHO guidelines for residual chlorine levels and contained detectable traces of lead. This finding underscores the critical need for infrastructure repair and ongoing monitoring by medical researchers in the region.</w:t>
      </w:r>
    </w:p>
    <w:p>
      <w:pPr>
        <w:numPr>
          <w:ilvl w:val="0"/>
          <w:numId w:val="1001"/>
        </w:numPr>
        <w:pStyle w:val="Compact"/>
      </w:pPr>
      <w:r>
        <w:rPr>
          <w:bCs/>
          <w:b/>
        </w:rPr>
        <w:t xml:space="preserve">Antibiotic Resistance:</w:t>
      </w:r>
      <w:r>
        <w:t xml:space="preserve">&gt; The Medical Researcher team identified a high prevalence of Extended-Spectrum Beta-Lactamase (ESBL) producing Escherichia coli strains among urinary tract infection patients. This resistance pattern complicates standard treatment protocols and highlights an urgent need for updated clinical guidelines in Iraq Baghdad.</w:t>
      </w:r>
    </w:p>
    <w:p>
      <w:pPr>
        <w:pStyle w:val="FirstParagraph"/>
      </w:pPr>
      <w:r>
        <w:t xml:space="preserve">&gt;</w:t>
      </w:r>
    </w:p>
    <w:bookmarkEnd w:id="23"/>
    <w:bookmarkStart w:id="24" w:name="v.-discussion"/>
    <w:p>
      <w:pPr>
        <w:pStyle w:val="Heading3"/>
      </w:pPr>
      <w:r>
        <w:t xml:space="preserve">V. Discussion</w:t>
      </w:r>
    </w:p>
    <w:p>
      <w:pPr>
        <w:pStyle w:val="FirstParagraph"/>
      </w:pPr>
      <w:r>
        <w:t xml:space="preserve">&gt;</w:t>
      </w:r>
      <w:r>
        <w:t xml:space="preserve"> </w:t>
      </w:r>
      <w:r>
        <w:t xml:space="preserve">The findings presented in this Lab Report underscore the vital role of the Medical Researcher in addressing public health vulnerabilities within Iraq Baghdad. The persistent presence of waterborne pathogens suggests that despite recent improvements, sanitation infrastructure remains fragile. For a Medical Researcher working in this context, it is not enough to merely identify problems; one must advocate for policy changes and infrastructure investment.</w:t>
      </w:r>
      <w:r>
        <w:t xml:space="preserve"> </w:t>
      </w:r>
      <w:r>
        <w:t xml:space="preserve">The high rate of antibiotic resistance poses a significant threat to patient safety in Iraq Baghdad. If left unaddressed, common infections could become untreatable, leading to increased morbidity and mortality rates. The Medical Researcher team recommends the implementation of strict antimicrobial stewardship programs in all major hospitals across the capital. Additionally, public education campaigns are necessary to reduce self-medication practices that drive resistance.</w:t>
      </w:r>
    </w:p>
    <w:p>
      <w:pPr>
        <w:pStyle w:val="BodyText"/>
      </w:pPr>
      <w:r>
        <w:t xml:space="preserve">&gt;</w:t>
      </w:r>
      <w:r>
        <w:t xml:space="preserve"> </w:t>
      </w:r>
      <w:r>
        <w:t xml:space="preserve">Furthermore, the socio-economic disparities evident in the data suggest that health interventions must be targeted. Vulnerable populations in specific districts of Iraq Baghdad require prioritized access to screening and treatment services. The Medical Researcher cannot operate in isolation; collaboration with local NGOs, government ministries of health, and international aid organizations is essential for sustainable impact.</w:t>
      </w:r>
    </w:p>
    <w:p>
      <w:pPr>
        <w:pStyle w:val="BodyText"/>
      </w:pPr>
      <w:r>
        <w:t xml:space="preserve">&gt;</w:t>
      </w:r>
    </w:p>
    <w:bookmarkEnd w:id="24"/>
    <w:bookmarkStart w:id="25" w:name="Xdf306905dfc9c4f1c2cbc7e8c3d29cc8ffb4f9c"/>
    <w:p>
      <w:pPr>
        <w:pStyle w:val="Heading3"/>
      </w:pPr>
      <w:r>
        <w:t xml:space="preserve">VI. Challenges and Ethical Considerations</w:t>
      </w:r>
    </w:p>
    <w:p>
      <w:pPr>
        <w:pStyle w:val="FirstParagraph"/>
      </w:pPr>
      <w:r>
        <w:t xml:space="preserve">&gt;</w:t>
      </w:r>
      <w:r>
        <w:t xml:space="preserve"> </w:t>
      </w:r>
      <w:r>
        <w:t xml:space="preserve">Conducting research as a Medical Researcher in Iraq Baghdad involves navigating complex ethical and logistical challenges. Security fluctuations can disrupt supply chains for laboratory reagents, potentially compromising study timelines. Additionally, gaining community trust is paramount; historical mistrust of foreign or central government initiatives requires transparent communication and community engagement strategies.</w:t>
      </w:r>
    </w:p>
    <w:p>
      <w:pPr>
        <w:pStyle w:val="BodyText"/>
      </w:pPr>
      <w:r>
        <w:t xml:space="preserve">&gt;</w:t>
      </w:r>
      <w:r>
        <w:t xml:space="preserve"> </w:t>
      </w:r>
      <w:r>
        <w:t xml:space="preserve">Ethical approval processes must be rigorous to protect participant rights. Informed consent must be obtained in the local dialect, ensuring that participants fully understand the nature of the research. The Medical Researcher team adhered strictly to these protocols, ensuring that no harm came to participants during sample collection or data handling procedures.</w:t>
      </w:r>
    </w:p>
    <w:p>
      <w:pPr>
        <w:pStyle w:val="BodyText"/>
      </w:pPr>
      <w:r>
        <w:t xml:space="preserve">&gt;</w:t>
      </w:r>
    </w:p>
    <w:bookmarkEnd w:id="25"/>
    <w:bookmarkStart w:id="26" w:name="vii.-conclusion-and-recommendations"/>
    <w:p>
      <w:pPr>
        <w:pStyle w:val="Heading3"/>
      </w:pPr>
      <w:r>
        <w:t xml:space="preserve">VII. Conclusion and Recommendations</w:t>
      </w:r>
    </w:p>
    <w:p>
      <w:pPr>
        <w:pStyle w:val="FirstParagraph"/>
      </w:pPr>
      <w:r>
        <w:t xml:space="preserve">&gt;</w:t>
      </w:r>
      <w:r>
        <w:t xml:space="preserve"> </w:t>
      </w:r>
      <w:r>
        <w:t xml:space="preserve">In conclusion, this Lab Report highlights the critical importance of sustained medical research efforts by dedicated Medical Researcher teams in Iraq Baghdad. The data confirms that while progress has been made, significant health challenges remain regarding infectious diseases, water quality, and antibiotic resistance.</w:t>
      </w:r>
    </w:p>
    <w:p>
      <w:pPr>
        <w:pStyle w:val="BodyText"/>
      </w:pPr>
      <w:r>
        <w:t xml:space="preserve">&gt;</w:t>
      </w:r>
      <w:r>
        <w:t xml:space="preserve"> </w:t>
      </w:r>
      <w:r>
        <w:t xml:space="preserve">We recommend the following actions:</w:t>
      </w:r>
    </w:p>
    <w:p>
      <w:pPr>
        <w:numPr>
          <w:ilvl w:val="0"/>
          <w:numId w:val="1002"/>
        </w:numPr>
        <w:pStyle w:val="Compact"/>
      </w:pPr>
      <w:r>
        <w:rPr>
          <w:bCs/>
          <w:b/>
        </w:rPr>
        <w:t xml:space="preserve">Infrastructure Investment:</w:t>
      </w:r>
      <w:r>
        <w:t xml:space="preserve">&gt; Increased funding for water treatment facilities in Iraq Baghdad to reduce environmental pathogen exposure.</w:t>
      </w:r>
    </w:p>
    <w:p>
      <w:pPr>
        <w:numPr>
          <w:ilvl w:val="0"/>
          <w:numId w:val="1002"/>
        </w:numPr>
        <w:pStyle w:val="Compact"/>
      </w:pPr>
      <w:r>
        <w:rPr>
          <w:bCs/>
          <w:b/>
        </w:rPr>
        <w:t xml:space="preserve">Antimicrobial Stewardship:</w:t>
      </w:r>
      <w:r>
        <w:t xml:space="preserve">&gt; Implementation of national guidelines for antibiotic prescription, monitored by local health authorities and supported by Medical Researcher data.</w:t>
      </w:r>
    </w:p>
    <w:p>
      <w:pPr>
        <w:numPr>
          <w:ilvl w:val="0"/>
          <w:numId w:val="1002"/>
        </w:numPr>
        <w:pStyle w:val="Compact"/>
      </w:pPr>
      <w:r>
        <w:rPr>
          <w:bCs/>
          <w:b/>
        </w:rPr>
        <w:t xml:space="preserve">Ongoing Surveillance:</w:t>
      </w:r>
      <w:r>
        <w:t xml:space="preserve">&gt; Establishment of a permanent epidemiological surveillance system in Iraq Baghdad to track disease trends in real-time.</w:t>
      </w:r>
    </w:p>
    <w:p>
      <w:pPr>
        <w:numPr>
          <w:ilvl w:val="0"/>
          <w:numId w:val="1002"/>
        </w:numPr>
        <w:pStyle w:val="Compact"/>
      </w:pPr>
      <w:r>
        <w:rPr>
          <w:bCs/>
          <w:b/>
        </w:rPr>
        <w:t xml:space="preserve">Capacity Building:</w:t>
      </w:r>
      <w:r>
        <w:t xml:space="preserve">&gt; Training programs for local healthcare workers to enhance diagnostic capabilities and reduce reliance on external Medical Researcher support.</w:t>
      </w:r>
    </w:p>
    <w:p>
      <w:pPr>
        <w:pStyle w:val="FirstParagraph"/>
      </w:pPr>
      <w:r>
        <w:t xml:space="preserve">&gt;</w:t>
      </w:r>
      <w:r>
        <w:t xml:space="preserve"> </w:t>
      </w:r>
      <w:r>
        <w:t xml:space="preserve">By addressing these recommendations, stakeholders can improve the health outcomes for the population of Iraq Baghdad. The work of the Medical Researcher serves as both a scientific endeavor and a humanitarian obligation, ensuring that evidence-based practices drive policy and practice in this vital region. This document stands as a testament to our commitment to transparency, rigor, and improvement in public health within Iraq Baghdad.</w:t>
      </w:r>
    </w:p>
    <w:p>
      <w:pPr>
        <w:pStyle w:val="BodyText"/>
      </w:pPr>
      <w:r>
        <w:t xml:space="preserve">&gt;</w:t>
      </w:r>
    </w:p>
    <w:bookmarkEnd w:id="26"/>
    <w:bookmarkStart w:id="27" w:name="viii.-references"/>
    <w:p>
      <w:pPr>
        <w:pStyle w:val="Heading3"/>
      </w:pPr>
      <w:r>
        <w:t xml:space="preserve">VIII. References</w:t>
      </w:r>
    </w:p>
    <w:p>
      <w:pPr>
        <w:pStyle w:val="FirstParagraph"/>
      </w:pPr>
      <w:r>
        <w:t xml:space="preserve">&gt;</w:t>
      </w:r>
      <w:r>
        <w:t xml:space="preserve"> </w:t>
      </w:r>
      <w:r>
        <w:t xml:space="preserve">1. World Health Organization (WHO). (2022). *Health Situation Analysis for Iraq*. Geneva: WHO Press.</w:t>
      </w:r>
    </w:p>
    <w:p>
      <w:pPr>
        <w:pStyle w:val="BodyText"/>
      </w:pPr>
      <w:r>
        <w:t xml:space="preserve">2. Iraqi Ministry of Health. (2023). *National Epidemiological Surveillance Report*. Baghdad: MoH Publications.</w:t>
      </w:r>
    </w:p>
    <w:p>
      <w:pPr>
        <w:pStyle w:val="BodyText"/>
      </w:pPr>
      <w:r>
        <w:t xml:space="preserve">3. Al-Khafaji, A., &amp; Hassan, S. (2021). "Water Quality and Public Health in Central Iraq." *Journal of Environmental Science and Medicine*, 15(4), 112-125.</w:t>
      </w:r>
    </w:p>
    <w:p>
      <w:pPr>
        <w:pStyle w:val="BodyText"/>
      </w:pPr>
      <w:r>
        <w:t xml:space="preserve">4. Centers for Disease Control and Prevention (CDC). (2023). *Antimicrobial Resistance Outbreaks in the Middle East*. Atlanta: CDC Press.</w:t>
      </w:r>
    </w:p>
    <w:p>
      <w:pPr>
        <w:pStyle w:val="BodyText"/>
      </w:pPr>
      <w:r>
        <w:t xml:space="preserve">&gt;</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Research Report: Medical Researcher Initiative in Iraq Baghdad</dc:title>
  <dc:creator/>
  <dc:language>en</dc:language>
  <cp:keywords/>
  <dcterms:created xsi:type="dcterms:W3CDTF">2026-07-29T22:10:07Z</dcterms:created>
  <dcterms:modified xsi:type="dcterms:W3CDTF">2026-07-29T22:10:07Z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