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Advanced</w:t>
      </w:r>
      <w:r>
        <w:t xml:space="preserve"> </w:t>
      </w:r>
      <w:r>
        <w:t xml:space="preserve">Oncological</w:t>
      </w:r>
      <w:r>
        <w:t xml:space="preserve"> </w:t>
      </w:r>
      <w:r>
        <w:t xml:space="preserve">Therapies</w:t>
      </w:r>
      <w:r>
        <w:t xml:space="preserve"> </w:t>
      </w:r>
      <w:r>
        <w:t xml:space="preserve">in</w:t>
      </w:r>
      <w:r>
        <w:t xml:space="preserve"> </w:t>
      </w:r>
      <w:r>
        <w:t xml:space="preserve">the</w:t>
      </w:r>
      <w:r>
        <w:t xml:space="preserve"> </w:t>
      </w:r>
      <w:r>
        <w:t xml:space="preserve">Israeli</w:t>
      </w:r>
      <w:r>
        <w:t xml:space="preserve"> </w:t>
      </w:r>
      <w:r>
        <w:t xml:space="preserve">Context</w:t>
      </w:r>
    </w:p>
    <w:bookmarkStart w:id="30" w:name="X4f38885b6ac02df1b7caecffd8637799188abbd"/>
    <w:p>
      <w:pPr>
        <w:pStyle w:val="Heading1"/>
      </w:pPr>
      <w:r>
        <w:t xml:space="preserve">Laboratory Report on Medical Researcher Protocols</w:t>
      </w:r>
    </w:p>
    <w:p>
      <w:pPr>
        <w:pStyle w:val="FirstParagraph"/>
      </w:pPr>
      <w:r>
        <w:rPr>
          <w:bCs/>
          <w:b/>
        </w:rPr>
        <w:t xml:space="preserve">Institution:</w:t>
      </w:r>
      <w:r>
        <w:t xml:space="preserve"> </w:t>
      </w:r>
      <w:r>
        <w:t xml:space="preserve">Tel Aviv Sourasky Medical Center &amp; Weizmann Institute of Science, Israel Tel Aviv</w:t>
      </w:r>
      <w:r>
        <w:t xml:space="preserve"> </w:t>
      </w:r>
      <w:r>
        <w:rPr>
          <w:bCs/>
          <w:b/>
        </w:rPr>
        <w:t xml:space="preserve">Date:</w:t>
      </w:r>
      <w:r>
        <w:t xml:space="preserve"> </w:t>
      </w:r>
      <w:r>
        <w:t xml:space="preserve">October 24, 2023</w:t>
      </w:r>
      <w:r>
        <w:t xml:space="preserve"> </w:t>
      </w:r>
      <w:r>
        <w:rPr>
          <w:bCs/>
          <w:b/>
        </w:rPr>
        <w:t xml:space="preserve">ID:</w:t>
      </w:r>
      <w:r>
        <w:t xml:space="preserve"> </w:t>
      </w:r>
      <w:r>
        <w:t xml:space="preserve">LAB-ISR-TLV-2023-89A</w:t>
      </w:r>
    </w:p>
    <w:bookmarkStart w:id="20" w:name="Xede8907211ff63cb134c6f32c99072af4777ffc"/>
    <w:p>
      <w:pPr>
        <w:pStyle w:val="Heading3"/>
      </w:pPr>
      <w:r>
        <w:t xml:space="preserve">Preliminary Statement regarding the Medical Researcher Role in Israel Tel Aviv</w:t>
      </w:r>
    </w:p>
    <w:p>
      <w:pPr>
        <w:pStyle w:val="FirstParagraph"/>
      </w:pPr>
      <w:r>
        <w:t xml:space="preserve">This document serves as a comprehensive Laboratory Report detailing the operational framework, ethical considerations, and scientific objectives associated with a Medical Researcher operating within the dynamic healthcare ecosystem of Israel Tel Aviv. The intersection of advanced biotechnology and clinical application in this region requires rigorous adherence to international standards while acknowledging local regulatory nuances specific to Israel Tel Aviv.</w:t>
      </w:r>
    </w:p>
    <w:bookmarkEnd w:id="20"/>
    <w:bookmarkStart w:id="21" w:name="introduction"/>
    <w:p>
      <w:pPr>
        <w:pStyle w:val="Heading2"/>
      </w:pPr>
      <w:r>
        <w:t xml:space="preserve">1. Introduction</w:t>
      </w:r>
    </w:p>
    <w:p>
      <w:pPr>
        <w:pStyle w:val="FirstParagraph"/>
      </w:pPr>
      <w:r>
        <w:t xml:space="preserve">The role of the Medical Researcher is pivotal in bridging the gap between theoretical scientific discovery and practical clinical application. In the context of Israel Tel Aviv, a global hub for medical innovation and biotechnology, this role assumes heightened significance. The Laboratory Report aims to outline the specific methodologies employed by our team of Medical Researcher specialists who are currently conducting longitudinal studies on personalized immunotherapy protocols.</w:t>
      </w:r>
    </w:p>
    <w:p>
      <w:pPr>
        <w:pStyle w:val="BodyText"/>
      </w:pPr>
      <w:r>
        <w:t xml:space="preserve">Israel Tel Aviv is recognized not merely as a geographic location but as a central node in the global network of medical advancement. Consequently, the presence of a dedicated Medical Researcher here requires an adaptation to the high-paced, high-stakes environment characteristic of this specific metropolitan area. The objective of this report is to document the initial phases of our study regarding CRISPR-Cas9 gene editing applications in hematological disorders, ensuring that all procedures align with both local Israeli regulations and international bioethical standards.</w:t>
      </w:r>
    </w:p>
    <w:bookmarkEnd w:id="21"/>
    <w:bookmarkStart w:id="22" w:name="objectives-and-scope"/>
    <w:p>
      <w:pPr>
        <w:pStyle w:val="Heading2"/>
      </w:pPr>
      <w:r>
        <w:t xml:space="preserve">2. Objectives and Scope</w:t>
      </w:r>
    </w:p>
    <w:p>
      <w:pPr>
        <w:pStyle w:val="FirstParagraph"/>
      </w:pPr>
      <w:r>
        <w:t xml:space="preserve">The primary objective of this Laboratory Report is to establish a baseline for the data collection process led by the Medical Researcher. The scope of work encompasses three critical areas:</w:t>
      </w:r>
    </w:p>
    <w:p>
      <w:pPr>
        <w:numPr>
          <w:ilvl w:val="0"/>
          <w:numId w:val="1001"/>
        </w:numPr>
        <w:pStyle w:val="Compact"/>
      </w:pPr>
      <w:r>
        <w:rPr>
          <w:bCs/>
          <w:b/>
        </w:rPr>
        <w:t xml:space="preserve">Data Integrity:</w:t>
      </w:r>
      <w:r>
        <w:t xml:space="preserve"> </w:t>
      </w:r>
      <w:r>
        <w:t xml:space="preserve">Ensuring that all biological samples collected within the Israel Tel Aviv facilities are processed without contamination.</w:t>
      </w:r>
    </w:p>
    <w:p>
      <w:pPr>
        <w:numPr>
          <w:ilvl w:val="0"/>
          <w:numId w:val="1001"/>
        </w:numPr>
        <w:pStyle w:val="Compact"/>
      </w:pPr>
      <w:r>
        <w:rPr>
          <w:bCs/>
          <w:b/>
        </w:rPr>
        <w:t xml:space="preserve">Ethical Compliance:</w:t>
      </w:r>
      <w:r>
        <w:t xml:space="preserve"> </w:t>
      </w:r>
      <w:r>
        <w:t xml:space="preserve">Verifying that the Medical Researcher adheres to the strict ethical guidelines set forth by the local institutional review boards in Israel Tel Aviv.</w:t>
      </w:r>
    </w:p>
    <w:p>
      <w:pPr>
        <w:numPr>
          <w:ilvl w:val="0"/>
          <w:numId w:val="1001"/>
        </w:numPr>
      </w:pPr>
      <w:r>
        <w:rPr>
          <w:bCs/>
          <w:b/>
        </w:rPr>
        <w:t xml:space="preserve">Clinical Translation:</w:t>
      </w:r>
    </w:p>
    <w:p>
      <w:pPr>
        <w:numPr>
          <w:ilvl w:val="0"/>
          <w:numId w:val="1000"/>
        </w:numPr>
      </w:pPr>
      <w:r>
        <w:t xml:space="preserve">Determining how findings from this laboratory setting can be effectively translated into patient care within the hospitals of Israel Tel Aviv.</w:t>
      </w:r>
    </w:p>
    <w:bookmarkEnd w:id="22"/>
    <w:bookmarkStart w:id="25" w:name="methodology"/>
    <w:p>
      <w:pPr>
        <w:pStyle w:val="Heading2"/>
      </w:pPr>
      <w:r>
        <w:t xml:space="preserve">3. Methodology</w:t>
      </w:r>
    </w:p>
    <w:bookmarkStart w:id="23" w:name="sample-acquisition-and-handling"/>
    <w:p>
      <w:pPr>
        <w:pStyle w:val="Heading3"/>
      </w:pPr>
      <w:r>
        <w:t xml:space="preserve">3.1 Sample Acquisition and Handling</w:t>
      </w:r>
    </w:p>
    <w:p>
      <w:pPr>
        <w:pStyle w:val="FirstParagraph"/>
      </w:pPr>
      <w:r>
        <w:t xml:space="preserve">The Medical Researcher is tasked with overseeing the acquisition of peripheral blood mononuclear cells (PBMCs) from donor cohorts located primarily within Israel Tel Aviv. The handling of these samples requires a sterile environment strictly monitored for temperature and humidity, reflecting the high standards expected in any top-tier Laboratory Report submitted by an institution in Israel Tel Aviv.</w:t>
      </w:r>
    </w:p>
    <w:p>
      <w:pPr>
        <w:pStyle w:val="BodyText"/>
      </w:pPr>
      <w:r>
        <w:t xml:space="preserve">All procedures are conducted under biosafety level 2 (BSL-2) protocols. The Medical Researcher must maintain detailed logs of sample movement from collection to analysis, ensuring a chain of custody that is unbreakable. This documentation is crucial for the validity of any subsequent peer-reviewed publication or regulatory submission.</w:t>
      </w:r>
    </w:p>
    <w:bookmarkEnd w:id="23"/>
    <w:bookmarkStart w:id="24" w:name="analytical-techniques"/>
    <w:p>
      <w:pPr>
        <w:pStyle w:val="Heading3"/>
      </w:pPr>
      <w:r>
        <w:t xml:space="preserve">3.2 Analytical Techniques</w:t>
      </w:r>
    </w:p>
    <w:p>
      <w:pPr>
        <w:pStyle w:val="FirstParagraph"/>
      </w:pPr>
      <w:r>
        <w:t xml:space="preserve">In this phase, the Medical Researcher utilizes next-generation sequencing (NGS) to analyze genetic markers associated with autoimmune responses. The data generated is processed using proprietary algorithms developed in collaboration with tech partners in Israel Tel Aviv’s "Startup Nation" ecosystem. This integration of high-tech computational biology with traditional medical research exemplifies the unique advantage of being a Medical Researcher based in this specific region.</w:t>
      </w:r>
    </w:p>
    <w:bookmarkEnd w:id="24"/>
    <w:bookmarkEnd w:id="25"/>
    <w:bookmarkStart w:id="26" w:name="Xf7410d3ae96563753084790ad8d7f837492aa61"/>
    <w:p>
      <w:pPr>
        <w:pStyle w:val="Heading2"/>
      </w:pPr>
      <w:r>
        <w:t xml:space="preserve">4. Ethical Considerations and Regulatory Framework</w:t>
      </w:r>
    </w:p>
    <w:p>
      <w:pPr>
        <w:pStyle w:val="FirstParagraph"/>
      </w:pPr>
      <w:r>
        <w:t xml:space="preserve">A critical component of any Laboratory Report concerning human subjects is the adherence to ethical standards. In Israel Tel Aviv, research involving human subjects must comply with the regulations set by the Ministry of Health and local ethics committees at institutions such as Ichilov Hospital (Sourasky Medical Center). The Medical Researcher must ensure that informed consent forms are not only legally sound but also culturally sensitive to the diverse population of Israel Tel Aviv.</w:t>
      </w:r>
    </w:p>
    <w:p>
      <w:pPr>
        <w:pStyle w:val="BodyText"/>
      </w:pPr>
      <w:r>
        <w:t xml:space="preserve">Privacy is paramount. Given the strict data protection laws in Israel, including the Privacy Law of 1981 and its subsequent amendments, the Medical Researcher must implement robust cybersecurity measures to protect patient data. The Laboratory Report hereby certifies that all digital records have been encrypted and stored on servers located within Israel Tel Aviv to ensure jurisdictional compliance.</w:t>
      </w:r>
    </w:p>
    <w:bookmarkEnd w:id="26"/>
    <w:bookmarkStart w:id="27" w:name="preliminary-findings"/>
    <w:p>
      <w:pPr>
        <w:pStyle w:val="Heading2"/>
      </w:pPr>
      <w:r>
        <w:t xml:space="preserve">5. Preliminary Findings</w:t>
      </w:r>
    </w:p>
    <w:p>
      <w:pPr>
        <w:pStyle w:val="FirstParagraph"/>
      </w:pPr>
      <w:r>
        <w:t xml:space="preserve">Preliminary analysis by the Medical Researcher indicates a significant correlation between specific genetic markers and response rates to checkpoint inhibitor therapy. These findings, if validated through larger cohorts in Israel Tel Aviv, could revolutionize treatment protocols for non-small cell lung cancer and melanoma. The data suggests that local demographic variations may influence efficacy, highlighting the necessity of region-specific research led by a qualified Medical Researcher.</w:t>
      </w:r>
    </w:p>
    <w:p>
      <w:pPr>
        <w:pStyle w:val="BodyText"/>
      </w:pPr>
      <w:r>
        <w:t xml:space="preserve">It is important to note that these results are preliminary. The Laboratory Report emphasizes the need for further validation before clinical implementation. However, the initial promise observed in samples obtained from patients in Israel Tel Aviv warrants immediate attention and resource allocation.</w:t>
      </w:r>
    </w:p>
    <w:bookmarkEnd w:id="27"/>
    <w:bookmarkStart w:id="28" w:name="challenges-and-mitigation-strategies"/>
    <w:p>
      <w:pPr>
        <w:pStyle w:val="Heading2"/>
      </w:pPr>
      <w:r>
        <w:t xml:space="preserve">6. Challenges and Mitigation Strategies</w:t>
      </w:r>
    </w:p>
    <w:p>
      <w:pPr>
        <w:pStyle w:val="FirstParagraph"/>
      </w:pPr>
      <w:r>
        <w:t xml:space="preserve">The role of a Medical Researcher is not without its challenges. In Israel Tel Aviv, logistical hurdles such as rapid urban development and high patient turnover can impact data continuity. To mitigate this, the Medical Researcher has implemented a robust digital tracking system that allows for real-time updates on patient status.</w:t>
      </w:r>
    </w:p>
    <w:p>
      <w:pPr>
        <w:pStyle w:val="BodyText"/>
      </w:pPr>
      <w:r>
        <w:t xml:space="preserve">Additionally, resource constraints common in many laboratory settings require efficient budget management. The Laboratory Report highlights successful partnerships with private sector stakeholders in Israel Tel Aviv to supplement funding, ensuring that the research remains uninterrupted and innovative.</w:t>
      </w:r>
    </w:p>
    <w:bookmarkEnd w:id="28"/>
    <w:bookmarkStart w:id="29" w:name="conclusion"/>
    <w:p>
      <w:pPr>
        <w:pStyle w:val="Heading2"/>
      </w:pPr>
      <w:r>
        <w:t xml:space="preserve">7. Conclusion</w:t>
      </w:r>
    </w:p>
    <w:p>
      <w:pPr>
        <w:pStyle w:val="FirstParagraph"/>
      </w:pPr>
      <w:r>
        <w:t xml:space="preserve">This Laboratory Report concludes that the current trajectory of our work is positive and aligned with global best practices. The Medical Researcher has demonstrated competence in navigating the complex regulatory and technical landscape of Israel Tel Aviv. The integration of cutting-edge technology with rigorous scientific methodology positions our team at the forefront of medical innovation.</w:t>
      </w:r>
    </w:p>
    <w:p>
      <w:pPr>
        <w:pStyle w:val="BodyText"/>
      </w:pPr>
      <w:r>
        <w:t xml:space="preserve">As we move forward, continued collaboration between academic institutions, clinical centers, and tech firms in Israel Tel Aviv will be essential. The Medical Researcher remains committed to upholding the highest standards of integrity and excellence. This document serves as a testament to the ongoing efforts to improve health outcomes through rigorous scientific inquiry.</w:t>
      </w:r>
    </w:p>
    <w:p>
      <w:pPr>
        <w:pStyle w:val="BodyText"/>
      </w:pPr>
      <w:r>
        <w:t xml:space="preserve">We anticipate that future updates to this Laboratory Report will reflect substantial progress in clinical trials, further cementing Israel Tel Aviv’s reputation as a leader in medical research. The insights gained by the Medical Researcher during this period will contribute significantly to the broader understanding of personalized medicine.</w:t>
      </w:r>
    </w:p>
    <w:p>
      <w:pPr>
        <w:pStyle w:val="BodyText"/>
      </w:pPr>
      <w:r>
        <w:rPr>
          <w:iCs/>
          <w:i/>
        </w:rPr>
        <w:t xml:space="preserve">End of Laboratory Report | Document Classification: Internal Use Only | Issued by the Office of the Chief Medical Researcher, Israel Tel Aviv</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Advanced Oncological Therapies in the Israeli Context</dc:title>
  <dc:creator/>
  <dc:language>en</dc:language>
  <cp:keywords/>
  <dcterms:created xsi:type="dcterms:W3CDTF">2026-07-29T17:20:56Z</dcterms:created>
  <dcterms:modified xsi:type="dcterms:W3CDTF">2026-07-29T17:20:56Z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