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Kuala</w:t>
      </w:r>
      <w:r>
        <w:t xml:space="preserve"> </w:t>
      </w:r>
      <w:r>
        <w:t xml:space="preserve">Lumpur</w:t>
      </w:r>
    </w:p>
    <w:bookmarkStart w:id="26" w:name="formal-laboratory-report"/>
    <w:p>
      <w:pPr>
        <w:pStyle w:val="Heading1"/>
      </w:pPr>
      <w:r>
        <w:t xml:space="preserve">FORMAL LABORATORY REPORT</w:t>
      </w:r>
    </w:p>
    <w:p>
      <w:pPr>
        <w:pStyle w:val="FirstParagraph"/>
      </w:pPr>
      <w:r>
        <w:rPr>
          <w:bCs/>
          <w:b/>
        </w:rPr>
        <w:t xml:space="preserve">Institution:</w:t>
      </w:r>
      <w:r>
        <w:t xml:space="preserve"> </w:t>
      </w:r>
      <w:r>
        <w:t xml:space="preserve">Center for Advanced Medical Sciences, Kuala Lumpur</w:t>
      </w:r>
      <w:r>
        <w:br/>
      </w:r>
      <w:r>
        <w:rPr>
          <w:bCs/>
          <w:b/>
        </w:rPr>
        <w:t xml:space="preserve">Date:</w:t>
      </w:r>
      <w:r>
        <w:t xml:space="preserve"> </w:t>
      </w:r>
      <w:r>
        <w:t xml:space="preserve">October 24, 2023</w:t>
      </w:r>
      <w:r>
        <w:br/>
      </w:r>
      <w:r>
        <w:rPr>
          <w:bCs/>
          <w:b/>
        </w:rPr>
        <w:t xml:space="preserve">Status:</w:t>
      </w:r>
      <w:r>
        <w:t xml:space="preserve"> </w:t>
      </w:r>
      <w:r>
        <w:t xml:space="preserve">Final Review &amp; Archival Copy</w:t>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This document serves as a comprehensive **Lab Report** detailing the findings of a longitudinal clinical study conducted under the auspices of an international collaboration between local Malaysian health authorities and global biomedical institutes. The primary objective was to evaluate the efficacy of novel therapeutic interventions for metabolic syndrome in diverse populations. It is imperative to contextualize this work within the specific geographic and demographic landscape of **Malaysia Kuala Lumpur**, a hub that represents both modern medical infrastructure and significant ethnic diversity. As a dedicated **Medical Researcher** operating within this region, one must acknowledge that local variables such as genetic predisposition, dietary habits unique to Southeast Asia, and urban lifestyle factors significantly influence physiological responses to treatment.</w:t>
      </w:r>
    </w:p>
    <w:p>
      <w:pPr>
        <w:pStyle w:val="BodyText"/>
      </w:pPr>
      <w:r>
        <w:t xml:space="preserve">The city of **Malaysia Kuala Lumpur** presents a unique case study environment. It is a metropolis where traditional Malay cuisine, spicy Chinese dishes, and Indian curries intersect with rapid industrialization and sedentary office work cultures. Therefore, the data collected herein cannot be viewed in isolation from the environmental context of **Malaysia Kuala Lumpur**. The **Lab Report** aims to bridge the gap between theoretical pharmacological models and real-world clinical outcomes observed specifically within this vibrant urban center.</w:t>
      </w:r>
    </w:p>
    <w:bookmarkEnd w:id="20"/>
    <w:bookmarkStart w:id="21" w:name="methodology-and-research-protocol"/>
    <w:p>
      <w:pPr>
        <w:pStyle w:val="Heading2"/>
      </w:pPr>
      <w:r>
        <w:t xml:space="preserve">2. Methodology and Research Protocol</w:t>
      </w:r>
    </w:p>
    <w:p>
      <w:pPr>
        <w:pStyle w:val="FirstParagraph"/>
      </w:pPr>
      <w:r>
        <w:t xml:space="preserve">The study design employed was a randomized, double-blind, placebo-controlled trial. As a **Medical Researcher**, strict adherence to ethical guidelines established by the Medical Research and Ethics Committee (MREC) in **Malaysia Kuala Lumpur** was paramount. The participant pool consisted of 500 individuals aged between 30 and 65 years, recruited from three major public hospitals situated within the metropolitan area of **Malaysia Kuala Lumpur**. These institutions were selected to ensure a representative cross-section of the population regarding socioeconomic status and ethnicity.</w:t>
      </w:r>
    </w:p>
    <w:p>
      <w:pPr>
        <w:pStyle w:val="BodyText"/>
      </w:pPr>
      <w:r>
        <w:t xml:space="preserve">Data collection methods included rigorous anthropometric measurements, blood glucose monitoring via continuous sensors, and lipid profile analysis. The protocol required participants to maintain a digital health diary, which allowed the **Medical Researcher** team to correlate medication adherence with lifestyle factors prevalent in **Malaysia Kuala Lumpur**, such as traffic congestion-related stress levels and access to green spaces for physical activity. All laboratory assays were performed using standardized ISO-certified equipment housed in the central laboratory facility located near the biomedical corridor of **Malaysia Kuala Lumpur**, ensuring minimal variability due to environmental factors.</w:t>
      </w:r>
    </w:p>
    <w:bookmarkEnd w:id="21"/>
    <w:bookmarkStart w:id="22" w:name="results-and-data-analysis"/>
    <w:p>
      <w:pPr>
        <w:pStyle w:val="Heading2"/>
      </w:pPr>
      <w:r>
        <w:t xml:space="preserve">3. Results and Data Analysis</w:t>
      </w:r>
    </w:p>
    <w:p>
      <w:pPr>
        <w:pStyle w:val="FirstParagraph"/>
      </w:pPr>
      <w:r>
        <w:t xml:space="preserve">The statistical analysis revealed significant trends that underscore the complexity of metabolic health in this demographic. The primary endpoint, a reduction in HbA1c levels by 0.5%, was achieved in 68% of the treatment group compared to only 32% in the placebo group. However, secondary outcomes showed marked variation based on ethnic subgroups, a critical consideration for any **Medical Researcher** analyzing data from **Malaysia Kuala Lumpur.</w:t>
      </w:r>
    </w:p>
    <w:p>
      <w:pPr>
        <w:pStyle w:val="BodyText"/>
      </w:pPr>
      <w:r>
        <w:rPr>
          <w:bCs/>
          <w:b/>
        </w:rPr>
        <w:t xml:space="preserve">Metric</w:t>
      </w:r>
    </w:p>
    <w:p>
      <w:pPr>
        <w:pStyle w:val="BodyText"/>
      </w:pPr>
      <w:r>
        <w:rPr>
          <w:bCs/>
          <w:b/>
        </w:rPr>
        <w:t xml:space="preserve">Treatment Group (N=250)</w:t>
      </w:r>
    </w:p>
    <w:p>
      <w:pPr>
        <w:pStyle w:val="BodyText"/>
      </w:pPr>
      <w:r>
        <w:rPr>
          <w:bCs/>
          <w:b/>
        </w:rPr>
        <w:t xml:space="preserve">Placebo Group (N=250)</w:t>
      </w:r>
      <w:r>
        <w:rPr>
          <w:bCs/>
          <w:b/>
        </w:rPr>
        <w:t xml:space="preserve"> </w:t>
      </w:r>
      <w:r>
        <w:rPr>
          <w:bCs/>
          <w:b/>
        </w:rPr>
        <w:t xml:space="preserve">t h &gt;&lt; tr &gt; td &gt; Mean HbA1c Reduction (%) &lt;/td&gt; td &gt;- 0.62 ± 0.14&lt;/td&gt; td &gt;- 0.15 ± 0.12&lt;/td&gt;&lt;/tr&gt;</w:t>
      </w:r>
    </w:p>
    <w:p>
      <w:pPr>
        <w:pStyle w:val="BodyText"/>
      </w:pPr>
      <w:r>
        <w:t xml:space="preserve">Average Systolic BP Drop (mmHg)</w:t>
      </w:r>
    </w:p>
    <w:p>
      <w:pPr>
        <w:pStyle w:val="BodyText"/>
      </w:pPr>
      <w:r>
        <w:t xml:space="preserve">-8.4 ± 2.1</w:t>
      </w:r>
    </w:p>
    <w:p>
      <w:pPr>
        <w:pStyle w:val="BodyText"/>
      </w:pPr>
      <w:r>
        <w:t xml:space="preserve">-2.3 ± 1.9</w:t>
      </w:r>
    </w:p>
    <w:p>
      <w:pPr>
        <w:pStyle w:val="BodyText"/>
      </w:pPr>
      <w:r>
        <w:t xml:space="preserve">Lipid Profile Improvement Index</w:t>
      </w:r>
    </w:p>
    <w:p>
      <w:pPr>
        <w:pStyle w:val="BodyText"/>
      </w:pPr>
      <w:r>
        <w:t xml:space="preserve">+18% td &gt; +4 %&lt;/td&gt;&lt;/tr&gt; tr &gt;&lt;/thead&gt; &lt;t body gt ; t r &gt;</w:t>
      </w:r>
    </w:p>
    <w:p>
      <w:pPr>
        <w:pStyle w:val="BodyText"/>
      </w:pPr>
      <w:r>
        <w:t xml:space="preserve">The data presented above highlights the potency of the intervention. However, as a **Medical Researcher**, it is crucial to note outliers. Approximately 12% of participants reported mild gastrointestinal distress, which correlated with higher consumption of spicy local foods typical in **Malaysia Kuala Lumpur**. This interaction between drug formulation and local dietary habits was not fully anticipated in pre-clinical phases but became evident during the rigorous monitoring required by this **Lab Report**.</w:t>
      </w:r>
    </w:p>
    <w:bookmarkEnd w:id="22"/>
    <w:bookmarkStart w:id="23" w:name="X06a54e18bbfc69f452b10cdc9b3300216110a34"/>
    <w:p>
      <w:pPr>
        <w:pStyle w:val="Heading2"/>
      </w:pPr>
      <w:r>
        <w:t xml:space="preserve">4. Discussion: The Role of Environment and Demographics</w:t>
      </w:r>
    </w:p>
    <w:p>
      <w:pPr>
        <w:pStyle w:val="FirstParagraph"/>
      </w:pPr>
      <w:r>
        <w:t xml:space="preserve">The results must be interpreted through the lens of public health in **Malaysia Kuala Lumpur**. The city faces a dual burden of disease: high rates of communicable diseases alongside a rapidly escalating epidemic of non-communicable diseases like diabetes and hypertension. The success observed in this trial suggests that targeted pharmacological interventions, when combined with lifestyle counseling, can be highly effective. However, the effectiveness is modulated by social determinants.</w:t>
      </w:r>
    </w:p>
    <w:p>
      <w:pPr>
        <w:pStyle w:val="BodyText"/>
      </w:pPr>
      <w:r>
        <w:t xml:space="preserve">For instance, access to fresh produce varies across districts in **Malaysia Kuala Lumpur**. Participants living in "food deserts" showed less favorable outcomes despite medication adherence. This finding emphasizes that a **Medical Researcher** cannot simply view patients as biological entities but must consider their ecological and social context. The urban planning of **Malaysia Kuala Lumpur**, including the availability of walkable areas and public transport reliability, directly impacts the physical activity levels of the population, thereby influencing metabolic outcomes.</w:t>
      </w:r>
    </w:p>
    <w:p>
      <w:pPr>
        <w:pStyle w:val="BodyText"/>
      </w:pPr>
      <w:r>
        <w:t xml:space="preserve">Furthermore, cultural beliefs regarding health and illness in **Malaysia Kuala Lumpur** play a significant role. Many participants initially combined Western medicine with traditional herbal remedies. While this polypharmacy was monitored closely to prevent adverse interactions, it added complexity to the data analysis. The transparency of this **Lab Report** ensures that such confounding variables are documented for future researchers who may seek to replicate or expand upon these findings in similar tropical urban environments.</w:t>
      </w:r>
    </w:p>
    <w:bookmarkEnd w:id="23"/>
    <w:bookmarkStart w:id="24" w:name="limitations-and-future-directions"/>
    <w:p>
      <w:pPr>
        <w:pStyle w:val="Heading2"/>
      </w:pPr>
      <w:r>
        <w:t xml:space="preserve">5. Limitations and Future Directions</w:t>
      </w:r>
    </w:p>
    <w:p>
      <w:pPr>
        <w:pStyle w:val="FirstParagraph"/>
      </w:pPr>
      <w:r>
        <w:t xml:space="preserve">This **Lab Report** acknowledges certain limitations. The study duration was limited to six months, which may not capture long-term side effects or the sustainability of behavioral changes. Additionally, while efforts were made to represent the diverse population of **Malaysia Kuala Lumpur**, there was an underrepresentation of rural migrants who have recently settled in the city. These individuals may have different baseline health profiles compared to lifelong urban residents.</w:t>
      </w:r>
    </w:p>
    <w:p>
      <w:pPr>
        <w:pStyle w:val="BodyText"/>
      </w:pPr>
      <w:r>
        <w:t xml:space="preserve">Future studies should aim for longer follow-up periods and broader geographic sampling within the Klang Valley region. Moreover, qualitative research is needed to better understand the psychosocial barriers to medication adherence among specific demographic groups in **Malaysia Kuala Lumpur**. As a **Medical Researcher**, I recommend integrating mobile health technologies that can provide real-time feedback tailored to the fast-paced lifestyle of residents in this major Asian hub.</w:t>
      </w:r>
    </w:p>
    <w:bookmarkEnd w:id="24"/>
    <w:bookmarkStart w:id="25" w:name="conclusion"/>
    <w:p>
      <w:pPr>
        <w:pStyle w:val="Heading2"/>
      </w:pPr>
      <w:r>
        <w:t xml:space="preserve">6. Conclusion</w:t>
      </w:r>
    </w:p>
    <w:p>
      <w:pPr>
        <w:pStyle w:val="FirstParagraph"/>
      </w:pPr>
      <w:r>
        <w:t xml:space="preserve">In conclusion, this **Lab Report** demonstrates that the novel therapeutic intervention is safe and effective for managing metabolic syndrome in the context of **Malaysia Kuala Lumpur**. The findings support the integration of this treatment into standard clinical practice, provided that healthcare providers remain vigilant regarding potential drug-food interactions related to local cuisine. The role of a **Medical Researcher** extends beyond data collection; it involves advocating for health policies that address the specific socio-economic and environmental challenges faced by the population in **Malaysia Kuala Lumpur**. By contextualizing our findings within this unique urban landscape, we contribute not only to scientific knowledge but also to tangible improvements in public health outcomes for the community.</w:t>
      </w:r>
    </w:p>
    <w:p>
      <w:pPr>
        <w:pStyle w:val="BodyText"/>
      </w:pPr>
      <w:r>
        <w:t xml:space="preserve">The successful execution of this project highlights the importance of international collaboration and local expertise. The infrastructure provided by healthcare institutions in **Malaysia Kuala Lumpur** facilitated high-quality data collection, while the rigorous standards upheld by every **Medical Researcher** involved ensured the integrity of these results. This document stands as a testament to the potential for evidence-based medicine to thrive in diverse global settings.</w:t>
      </w:r>
    </w:p>
    <w:p>
      <w:r>
        <w:pict>
          <v:rect style="width:0;height:1.5pt" o:hralign="center" o:hrstd="t" o:hr="t"/>
        </w:pict>
      </w:r>
    </w:p>
    <w:p>
      <w:pPr>
        <w:pStyle w:val="FirstParagraph"/>
      </w:pPr>
      <w:r>
        <w:rPr>
          <w:bCs/>
          <w:b/>
        </w:rPr>
        <w:t xml:space="preserve">End of Document</w:t>
      </w:r>
      <w:r>
        <w:br/>
      </w:r>
      <w:r>
        <w:t xml:space="preserve">Authorized by the Department of Clinical Trials,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Initiative in Kuala Lumpur</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