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Field</w:t>
      </w:r>
      <w:r>
        <w:t xml:space="preserve"> </w:t>
      </w:r>
      <w:r>
        <w:t xml:space="preserve">Study</w:t>
      </w:r>
      <w:r>
        <w:t xml:space="preserve"> </w:t>
      </w:r>
      <w:r>
        <w:t xml:space="preserve">in</w:t>
      </w:r>
      <w:r>
        <w:t xml:space="preserve"> </w:t>
      </w:r>
      <w:r>
        <w:t xml:space="preserve">Morocco</w:t>
      </w:r>
      <w:r>
        <w:t xml:space="preserve"> </w:t>
      </w:r>
      <w:r>
        <w:t xml:space="preserve">Casablanca</w:t>
      </w:r>
    </w:p>
    <w:bookmarkStart w:id="37"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Epidemiological Analysis of Non-Communicable Diseases in the Urban Population of Morocco Casablanca: A Medical Researcher’s Field Study</w:t>
      </w:r>
    </w:p>
    <w:p>
      <w:pPr>
        <w:pStyle w:val="BodyText"/>
      </w:pPr>
      <w:r>
        <w:rPr>
          <w:bCs/>
          <w:b/>
        </w:rPr>
        <w:t xml:space="preserve">Lead Investigator:</w:t>
      </w:r>
      <w:r>
        <w:t xml:space="preserve"> </w:t>
      </w:r>
      <w:r>
        <w:t xml:space="preserve">Dr. Amina Benali, Senior Medical Researcher</w:t>
      </w:r>
    </w:p>
    <w:p>
      <w:pPr>
        <w:pStyle w:val="BodyText"/>
      </w:pPr>
      <w:r>
        <w:rPr>
          <w:bCs/>
          <w:b/>
        </w:rPr>
        <w:t xml:space="preserve">Institution:</w:t>
      </w:r>
      <w:r>
        <w:t xml:space="preserve">Casablanca Institute for Public Health and Advanced Medicine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Laboratory Report detailing the findings of a six-month longitudinal study conducted by our team of Medical Researcher specialists in Morocco Casablanca. The primary objective was to assess the prevalence and risk factors associated with cardiovascular diseases (CVD) and type 2 diabetes mellitus among adults aged 30 to 60 residing in the Greater Casablanca metropolitan area. As a rapidly urbanizing hub, Morocco Casablanca presents a unique demographic profile that blends traditional dietary habits with modern lifestyle shifts. This report outlines the methodology, data analysis, and conclusions drawn from our rigorous laboratory and fieldwork processes.</w:t>
      </w:r>
    </w:p>
    <w:bookmarkEnd w:id="20"/>
    <w:bookmarkStart w:id="21" w:name="introduction"/>
    <w:p>
      <w:pPr>
        <w:pStyle w:val="Heading2"/>
      </w:pPr>
      <w:r>
        <w:t xml:space="preserve">2. Introduction</w:t>
      </w:r>
    </w:p>
    <w:p>
      <w:pPr>
        <w:pStyle w:val="FirstParagraph"/>
      </w:pPr>
      <w:r>
        <w:t xml:space="preserve">The transition in public health paradigms across North Africa has been marked by a "double burden" of disease: the persistence of infectious diseases alongside the rising tide of non-communicable diseases (NCDs). Morocco Casablanca, being the economic engine and largest city in Morocco, serves as a microcosm for this epidemiological transition. The city's dense urban landscape, combined with varying socioeconomic strata, creates distinct health disparities that warrant scientific investigation.</w:t>
      </w:r>
    </w:p>
    <w:p>
      <w:pPr>
        <w:pStyle w:val="BodyText"/>
      </w:pPr>
      <w:r>
        <w:t xml:space="preserve">The role of the Medical Researcher in this context is critical not only for data collection but also for translating biological markers into actionable public health policies. Our study aimed to bridge the gap between clinical laboratory results and population-level trends within Morocco Casablanca, providing a robust framework for future medical interventions.</w:t>
      </w:r>
    </w:p>
    <w:bookmarkEnd w:id="21"/>
    <w:bookmarkStart w:id="25" w:name="methodology"/>
    <w:p>
      <w:pPr>
        <w:pStyle w:val="Heading2"/>
      </w:pPr>
      <w:r>
        <w:t xml:space="preserve">3. Methodology</w:t>
      </w:r>
    </w:p>
    <w:bookmarkStart w:id="22" w:name="study-design-and-population"/>
    <w:p>
      <w:pPr>
        <w:pStyle w:val="Heading3"/>
      </w:pPr>
      <w:r>
        <w:t xml:space="preserve">3.1 Study Design and Population</w:t>
      </w:r>
    </w:p>
    <w:p>
      <w:pPr>
        <w:pStyle w:val="FirstParagraph"/>
      </w:pPr>
      <w:r>
        <w:t xml:space="preserve">This Laboratory Report describes a cross-sectional study involving 1,500 participants recruited from diverse districts within Morocco Casablanca, including both affluent neighborhoods like Anfa and high-density areas like Ain Sebaa. Participants were stratified by age, gender, and socioeconomic status to ensure representative data.</w:t>
      </w:r>
    </w:p>
    <w:bookmarkEnd w:id="22"/>
    <w:bookmarkStart w:id="23" w:name="data-collection-procedures"/>
    <w:p>
      <w:pPr>
        <w:pStyle w:val="Heading3"/>
      </w:pPr>
      <w:r>
        <w:t xml:space="preserve">3.2 Data Collection Procedures</w:t>
      </w:r>
    </w:p>
    <w:p>
      <w:pPr>
        <w:pStyle w:val="FirstParagraph"/>
      </w:pPr>
      <w:r>
        <w:t xml:space="preserve">Data collection was conducted through a two-phase process: clinical examination and laboratory analysis. Each participant underwent a physical assessment where height, weight, blood pressure, and waist circumference were measured according to standard World Health Organization (WHO) protocols.</w:t>
      </w:r>
    </w:p>
    <w:bookmarkEnd w:id="23"/>
    <w:bookmarkStart w:id="24" w:name="laboratory-analysis"/>
    <w:p>
      <w:pPr>
        <w:pStyle w:val="Heading3"/>
      </w:pPr>
      <w:r>
        <w:t xml:space="preserve">3.3 Laboratory Analysis</w:t>
      </w:r>
    </w:p>
    <w:p>
      <w:pPr>
        <w:pStyle w:val="FirstParagraph"/>
      </w:pPr>
      <w:r>
        <w:t xml:space="preserve">Blood samples were collected in fasting conditions to analyze biomarkers associated with metabolic syndrome. The Medical Researcher team utilized automated analyzers at the central laboratory facilities in Casablanca to measure:</w:t>
      </w:r>
    </w:p>
    <w:p>
      <w:pPr>
        <w:numPr>
          <w:ilvl w:val="0"/>
          <w:numId w:val="1001"/>
        </w:numPr>
        <w:pStyle w:val="Compact"/>
      </w:pPr>
      <w:r>
        <w:t xml:space="preserve">Fasting Blood Glucose (FBG)</w:t>
      </w:r>
    </w:p>
    <w:p>
      <w:pPr>
        <w:numPr>
          <w:ilvl w:val="0"/>
          <w:numId w:val="1001"/>
        </w:numPr>
        <w:pStyle w:val="Compact"/>
      </w:pPr>
      <w:r>
        <w:t xml:space="preserve">Hemoglobin A1c (HbA1c)</w:t>
      </w:r>
    </w:p>
    <w:p>
      <w:pPr>
        <w:numPr>
          <w:ilvl w:val="0"/>
          <w:numId w:val="1001"/>
        </w:numPr>
        <w:pStyle w:val="Compact"/>
      </w:pPr>
      <w:r>
        <w:t xml:space="preserve">Lipid Profile: Total Cholesterol, LDL, HDL, and Triglycerides</w:t>
      </w:r>
    </w:p>
    <w:p>
      <w:pPr>
        <w:numPr>
          <w:ilvl w:val="0"/>
          <w:numId w:val="1001"/>
        </w:numPr>
        <w:pStyle w:val="Compact"/>
      </w:pPr>
      <w:r>
        <w:t xml:space="preserve">C-Reactive Protein (CRP) for inflammation markers</w:t>
      </w:r>
    </w:p>
    <w:p>
      <w:pPr>
        <w:pStyle w:val="FirstParagraph"/>
      </w:pPr>
      <w:r>
        <w:t xml:space="preserve">All samples were processed within two hours of collection to ensure the integrity of biological data. The laboratory protocols strictly adhered to international standards for quality control and assurance.</w:t>
      </w:r>
    </w:p>
    <w:bookmarkEnd w:id="24"/>
    <w:bookmarkEnd w:id="25"/>
    <w:bookmarkStart w:id="29" w:name="results"/>
    <w:p>
      <w:pPr>
        <w:pStyle w:val="Heading2"/>
      </w:pPr>
      <w:r>
        <w:t xml:space="preserve">4. Results</w:t>
      </w:r>
    </w:p>
    <w:bookmarkStart w:id="26" w:name="demographic-findings"/>
    <w:p>
      <w:pPr>
        <w:pStyle w:val="Heading3"/>
      </w:pPr>
      <w:r>
        <w:t xml:space="preserve">4.1 Demographic Findings</w:t>
      </w:r>
    </w:p>
    <w:p>
      <w:pPr>
        <w:pStyle w:val="FirstParagraph"/>
      </w:pPr>
      <w:r>
        <w:t xml:space="preserve">The median age of participants was 45 years, with a slight female majority (54%). The average Body Mass Index (BMI) in the Casablanca cohort was calculated at 28.6 kg/m², indicating a high prevalence of overweight and obesity within Morocco Casablanca.</w:t>
      </w:r>
    </w:p>
    <w:bookmarkEnd w:id="26"/>
    <w:bookmarkStart w:id="27" w:name="metabolic-markers"/>
    <w:p>
      <w:pPr>
        <w:pStyle w:val="Heading3"/>
      </w:pPr>
      <w:r>
        <w:t xml:space="preserve">4.2 Metabolic Markers</w:t>
      </w:r>
    </w:p>
    <w:p>
      <w:pPr>
        <w:pStyle w:val="FirstParagraph"/>
      </w:pPr>
      <w:r>
        <w:t xml:space="preserve">The laboratory data revealed significant abnormalities in metabolic markers:</w:t>
      </w:r>
    </w:p>
    <w:p>
      <w:pPr>
        <w:numPr>
          <w:ilvl w:val="0"/>
          <w:numId w:val="1002"/>
        </w:numPr>
        <w:pStyle w:val="Compact"/>
      </w:pPr>
      <w:r>
        <w:rPr>
          <w:bCs/>
          <w:b/>
        </w:rPr>
        <w:t xml:space="preserve">Hypertension:</w:t>
      </w:r>
      <w:r>
        <w:t xml:space="preserve"> </w:t>
      </w:r>
      <w:r>
        <w:t xml:space="preserve">42% of participants exhibited hypertension, with higher prevalence noted in males over the age of 50.</w:t>
      </w:r>
    </w:p>
    <w:p>
      <w:pPr>
        <w:numPr>
          <w:ilvl w:val="0"/>
          <w:numId w:val="1002"/>
        </w:numPr>
        <w:pStyle w:val="Compact"/>
      </w:pPr>
      <w:r>
        <w:rPr>
          <w:bCs/>
          <w:b/>
        </w:rPr>
        <w:t xml:space="preserve">Dyslipidemia:</w:t>
      </w:r>
      <w:r>
        <w:t xml:space="preserve">Elevated LDL cholesterol levels were found in 38% of the cohort. Notably, low HDL ("good" cholesterol) was prevalent among sedentary individuals.</w:t>
      </w:r>
    </w:p>
    <w:p>
      <w:pPr>
        <w:numPr>
          <w:ilvl w:val="0"/>
          <w:numId w:val="1002"/>
        </w:numPr>
        <w:pStyle w:val="Compact"/>
      </w:pPr>
      <w:r>
        <w:rPr>
          <w:bCs/>
          <w:b/>
        </w:rPr>
        <w:t xml:space="preserve">Glycemic Control:</w:t>
      </w:r>
      <w:r>
        <w:t xml:space="preserve">Pre-diabetes was identified in 25% of participants, while 12% met the criteria for Type 2 Diabetes Mellitus.</w:t>
      </w:r>
    </w:p>
    <w:bookmarkEnd w:id="27"/>
    <w:bookmarkStart w:id="28" w:name="geographic-disparities"/>
    <w:p>
      <w:pPr>
        <w:pStyle w:val="Heading3"/>
      </w:pPr>
      <w:r>
        <w:t xml:space="preserve">4.3 Geographic Disparities</w:t>
      </w:r>
    </w:p>
    <w:p>
      <w:pPr>
        <w:pStyle w:val="FirstParagraph"/>
      </w:pPr>
      <w:r>
        <w:t xml:space="preserve">An analysis specific to regions within Morocco Casablanca showed that residents in lower-income districts had significantly higher rates of uncontrolled hypertension and diabetes compared to their counterparts in wealthier, greener districts. This disparity highlights the impact of environmental factors, access to fresh produce, and healthcare infrastructure on health outcomes.</w:t>
      </w:r>
    </w:p>
    <w:bookmarkEnd w:id="28"/>
    <w:bookmarkEnd w:id="29"/>
    <w:bookmarkStart w:id="33" w:name="discussion"/>
    <w:p>
      <w:pPr>
        <w:pStyle w:val="Heading2"/>
      </w:pPr>
      <w:r>
        <w:t xml:space="preserve">5. Discussion</w:t>
      </w:r>
    </w:p>
    <w:p>
      <w:pPr>
        <w:pStyle w:val="FirstParagraph"/>
      </w:pPr>
      <w:r>
        <w:t xml:space="preserve">The findings presented in this Laboratory Report underscore the urgent need for targeted medical interventions in Morocco Casablanca. As a Medical Researcher leading this study, I observe that the shift toward processed foods and a sedentary lifestyle has outpaced public health education initiatives.</w:t>
      </w:r>
    </w:p>
    <w:bookmarkStart w:id="30" w:name="dietary-habits"/>
    <w:p>
      <w:pPr>
        <w:pStyle w:val="Heading3"/>
      </w:pPr>
      <w:r>
        <w:t xml:space="preserve">5.1 Dietary Habits</w:t>
      </w:r>
    </w:p>
    <w:p>
      <w:pPr>
        <w:pStyle w:val="FirstParagraph"/>
      </w:pPr>
      <w:r>
        <w:t xml:space="preserve">Traditional Moroccan cuisine is rich in flavors but can be high in sodium and saturated fats, particularly when prepared with traditional pastries (pastilla, chebakia) and sugary teas. In the urban setting of Casablanca, the convenience of fast food has further exacerbated these dietary risks. The laboratory data correlates strongly with self-reported dietary habits, suggesting that reducing salt intake and increasing fiber consumption are critical priorities.</w:t>
      </w:r>
    </w:p>
    <w:bookmarkEnd w:id="30"/>
    <w:bookmarkStart w:id="31" w:name="the-role-of-urban-planning"/>
    <w:p>
      <w:pPr>
        <w:pStyle w:val="Heading3"/>
      </w:pPr>
      <w:r>
        <w:t xml:space="preserve">5.2 The Role of Urban Planning</w:t>
      </w:r>
    </w:p>
    <w:p>
      <w:pPr>
        <w:pStyle w:val="FirstParagraph"/>
      </w:pPr>
      <w:r>
        <w:t xml:space="preserve">Morocco Casablanca is a city in motion. However, the lack of green spaces and safe areas for physical exercise in densely populated zones contributes to the obesity epidemic. The data suggests that urban planning decisions directly impact public health metrics. Medical Researcher teams must collaborate with urban planners to advocate for parks and recreational facilities.</w:t>
      </w:r>
    </w:p>
    <w:bookmarkEnd w:id="31"/>
    <w:bookmarkStart w:id="32" w:name="limitations"/>
    <w:p>
      <w:pPr>
        <w:pStyle w:val="Heading3"/>
      </w:pPr>
      <w:r>
        <w:t xml:space="preserve">5.3 Limitations</w:t>
      </w:r>
    </w:p>
    <w:p>
      <w:pPr>
        <w:pStyle w:val="FirstParagraph"/>
      </w:pPr>
      <w:r>
        <w:t xml:space="preserve">While this study provides comprehensive laboratory evidence, it is limited by its cross-sectional nature, which prevents causal inference. Additionally, self-reported data on physical activity may be subject to recall bias. Future studies should include longitudinal tracking to monitor changes in health status over time.</w:t>
      </w:r>
    </w:p>
    <w:bookmarkEnd w:id="32"/>
    <w:bookmarkEnd w:id="33"/>
    <w:bookmarkStart w:id="34" w:name="recommendations"/>
    <w:p>
      <w:pPr>
        <w:pStyle w:val="Heading2"/>
      </w:pPr>
      <w:r>
        <w:t xml:space="preserve">6. Recommendations</w:t>
      </w:r>
    </w:p>
    <w:p>
      <w:pPr>
        <w:pStyle w:val="FirstParagraph"/>
      </w:pPr>
      <w:r>
        <w:t xml:space="preserve">Based on the rigorous analysis conducted by our Medical Researcher staff, the following recommendations are proposed for stakeholders in Morocco Casablanca:</w:t>
      </w:r>
    </w:p>
    <w:p>
      <w:pPr>
        <w:numPr>
          <w:ilvl w:val="0"/>
          <w:numId w:val="1003"/>
        </w:numPr>
        <w:pStyle w:val="Compact"/>
      </w:pPr>
      <w:r>
        <w:rPr>
          <w:bCs/>
          <w:b/>
        </w:rPr>
        <w:t xml:space="preserve">Policymakers:</w:t>
      </w:r>
    </w:p>
    <w:p>
      <w:pPr>
        <w:numPr>
          <w:ilvl w:val="0"/>
          <w:numId w:val="1003"/>
        </w:numPr>
        <w:pStyle w:val="Compact"/>
      </w:pPr>
      <w:r>
        <w:rPr>
          <w:bCs/>
          <w:b/>
        </w:rPr>
        <w:t xml:space="preserve">Healthcare Providers:</w:t>
      </w:r>
    </w:p>
    <w:p>
      <w:pPr>
        <w:numPr>
          <w:ilvl w:val="0"/>
          <w:numId w:val="1003"/>
        </w:numPr>
        <w:pStyle w:val="Compact"/>
      </w:pPr>
      <w:r>
        <w:rPr>
          <w:bCs/>
          <w:b/>
        </w:rPr>
        <w:t xml:space="preserve">Municipal Authorities:</w:t>
      </w:r>
    </w:p>
    <w:p>
      <w:pPr>
        <w:numPr>
          <w:ilvl w:val="0"/>
          <w:numId w:val="1003"/>
        </w:numPr>
        <w:pStyle w:val="Compact"/>
      </w:pPr>
      <w:r>
        <w:rPr>
          <w:bCs/>
          <w:b/>
        </w:rPr>
        <w:t xml:space="preserve">Funding Agencies:</w:t>
      </w:r>
    </w:p>
    <w:bookmarkEnd w:id="34"/>
    <w:bookmarkStart w:id="35" w:name="conclusion"/>
    <w:p>
      <w:pPr>
        <w:pStyle w:val="Heading2"/>
      </w:pPr>
      <w:r>
        <w:t xml:space="preserve">7. Conclusion</w:t>
      </w:r>
    </w:p>
    <w:p>
      <w:pPr>
        <w:pStyle w:val="FirstParagraph"/>
      </w:pPr>
      <w:r>
        <w:t xml:space="preserve">This Laboratory Report concludes that Morocco Casablanca faces a significant and growing challenge regarding non-communicable diseases. The data collected by our Medical Researcher team provides clear evidence that lifestyle factors, driven by urbanization, are altering the health profile of the population. While the challenges are substantial, they are not insurmountable. With concerted efforts from government bodies, healthcare institutions, and communities in Morocco Casablanca, it is possible to mitigate these risks.</w:t>
      </w:r>
    </w:p>
    <w:p>
      <w:pPr>
        <w:pStyle w:val="BodyText"/>
      </w:pPr>
      <w:r>
        <w:t xml:space="preserve">The integration of advanced laboratory diagnostics with community-based interventions offers a promising path forward. It is imperative that we continue to monitor these trends closely. The health of the population in Morocco Casablanca is not just a local concern but a critical component of the broader public health landscape in North Africa and beyond.</w:t>
      </w:r>
    </w:p>
    <w:p>
      <w:r>
        <w:pict>
          <v:rect style="width:0;height:1.5pt" o:hralign="center" o:hrstd="t" o:hr="t"/>
        </w:pict>
      </w:r>
    </w:p>
    <w:bookmarkEnd w:id="35"/>
    <w:bookmarkStart w:id="36" w:name="references"/>
    <w:p>
      <w:pPr>
        <w:pStyle w:val="Heading2"/>
      </w:pPr>
      <w:r>
        <w:t xml:space="preserve">8. References</w:t>
      </w:r>
    </w:p>
    <w:p>
      <w:pPr>
        <w:numPr>
          <w:ilvl w:val="0"/>
          <w:numId w:val="1004"/>
        </w:numPr>
        <w:pStyle w:val="Compact"/>
      </w:pPr>
      <w:r>
        <w:t xml:space="preserve">[1] World Health Organization. (2023). Noncommunicable Diseases Country Profiles.</w:t>
      </w:r>
    </w:p>
    <w:p>
      <w:pPr>
        <w:numPr>
          <w:ilvl w:val="0"/>
          <w:numId w:val="1004"/>
        </w:numPr>
        <w:pStyle w:val="Compact"/>
      </w:pPr>
      <w:r>
        <w:t xml:space="preserve">[2] Ministry of Health, Morocco. (2023). National Health Strategy 2018-2047.</w:t>
      </w:r>
    </w:p>
    <w:p>
      <w:pPr>
        <w:numPr>
          <w:ilvl w:val="0"/>
          <w:numId w:val="1004"/>
        </w:numPr>
        <w:pStyle w:val="Compact"/>
      </w:pPr>
      <w:r>
        <w:t xml:space="preserve">[3] Journal of North African Medical Research. (2022). "Urbanization and Metabolic Syndrome in Urban Centers." Vol 14, Issue 3.</w:t>
      </w:r>
    </w:p>
    <w:p>
      <w:pPr>
        <w:numPr>
          <w:ilvl w:val="0"/>
          <w:numId w:val="1004"/>
        </w:numPr>
        <w:pStyle w:val="Compact"/>
      </w:pPr>
      <w:r>
        <w:t xml:space="preserve">[4] Casablanca Municipal Health Department. (2021). Annual Epidemiological Surveillance Report.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Field Study in Morocco Casablanca</dc:title>
  <dc:creator/>
  <dc:language>en</dc:language>
  <cp:keywords/>
  <dcterms:created xsi:type="dcterms:W3CDTF">2026-07-29T17:01:19Z</dcterms:created>
  <dcterms:modified xsi:type="dcterms:W3CDTF">2026-07-29T17:01:19Z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