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Medical</w:t>
      </w:r>
      <w:r>
        <w:t xml:space="preserve"> </w:t>
      </w:r>
      <w:r>
        <w:t xml:space="preserve">Researcher</w:t>
      </w:r>
      <w:r>
        <w:t xml:space="preserve"> </w:t>
      </w:r>
      <w:r>
        <w:t xml:space="preserve">Protocol</w:t>
      </w:r>
      <w:r>
        <w:t xml:space="preserve"> </w:t>
      </w:r>
      <w:r>
        <w:t xml:space="preserve">in</w:t>
      </w:r>
      <w:r>
        <w:t xml:space="preserve"> </w:t>
      </w:r>
      <w:r>
        <w:t xml:space="preserve">Russia</w:t>
      </w:r>
      <w:r>
        <w:t xml:space="preserve"> </w:t>
      </w:r>
      <w:r>
        <w:t xml:space="preserve">Moscow</w:t>
      </w:r>
    </w:p>
    <w:bookmarkStart w:id="27" w:name="formal-laboratory-report"/>
    <w:p>
      <w:pPr>
        <w:pStyle w:val="Heading1"/>
      </w:pPr>
      <w:r>
        <w:t xml:space="preserve">FORMAL LABORATORY REPORT</w:t>
      </w:r>
    </w:p>
    <w:bookmarkStart w:id="20" w:name="X9cfb4b9cf4d9ddd234936778ddfd09b03c6c14e"/>
    <w:p>
      <w:pPr>
        <w:pStyle w:val="Heading3"/>
      </w:pPr>
      <w:r>
        <w:t xml:space="preserve">Comprehensive Analysis of Clinical Research Protocols and Medical Researcher Standards in Russia Moscow</w:t>
      </w:r>
    </w:p>
    <w:p>
      <w:pPr>
        <w:pStyle w:val="FirstParagraph"/>
      </w:pPr>
      <w:r>
        <w:rPr>
          <w:bCs/>
          <w:b/>
        </w:rPr>
        <w:t xml:space="preserve">Date:</w:t>
      </w:r>
      <w:r>
        <w:t xml:space="preserve"> </w:t>
      </w:r>
      <w:r>
        <w:t xml:space="preserve">October 26, 2023</w:t>
      </w:r>
      <w:r>
        <w:t xml:space="preserve"> </w:t>
      </w:r>
      <w:r>
        <w:rPr>
          <w:bCs/>
          <w:b/>
        </w:rPr>
        <w:t xml:space="preserve">To:</w:t>
      </w:r>
      <w:r>
        <w:t xml:space="preserve"> </w:t>
      </w:r>
      <w:r>
        <w:t xml:space="preserve">International Ethics Committee on Biomedical Studies</w:t>
      </w:r>
      <w:r>
        <w:t xml:space="preserve"> </w:t>
      </w:r>
      <w:r>
        <w:rPr>
          <w:bCs/>
          <w:b/>
        </w:rPr>
        <w:t xml:space="preserve">From:</w:t>
      </w:r>
      <w:r>
        <w:t xml:space="preserve"> </w:t>
      </w:r>
      <w:r>
        <w:t xml:space="preserve">Office of the Chief Medical Researcher, Central Clinical Institute</w:t>
      </w:r>
    </w:p>
    <w:p>
      <w:pPr>
        <w:pStyle w:val="BodyText"/>
      </w:pPr>
      <w:r>
        <w:rPr>
          <w:bCs/>
          <w:b/>
        </w:rPr>
        <w:t xml:space="preserve">Reference Number:</w:t>
      </w:r>
      <w:r>
        <w:t xml:space="preserve"> </w:t>
      </w:r>
      <w:r>
        <w:t xml:space="preserve">RM-MOW-2023-X99</w:t>
      </w:r>
      <w:r>
        <w:br/>
      </w:r>
    </w:p>
    <w:p>
      <w:pPr>
        <w:pStyle w:val="BodyText"/>
      </w:pPr>
      <w:r>
        <w:t xml:space="preserve">Jurisdiction:</w:t>
      </w:r>
    </w:p>
    <w:p>
      <w:pPr>
        <w:pStyle w:val="BodyText"/>
      </w:pPr>
      <w:r>
        <w:rPr>
          <w:iCs/>
          <w:i/>
        </w:rPr>
        <w:t xml:space="preserve">Russia, Moscow Federal District</w:t>
      </w:r>
    </w:p>
    <w:bookmarkEnd w:id="20"/>
    <w:bookmarkStart w:id="21" w:name="X7d3939d1cb50b011ead4b259c6cfaeceee61e46"/>
    <w:p>
      <w:pPr>
        <w:pStyle w:val="Heading2"/>
      </w:pPr>
      <w:r>
        <w:t xml:space="preserve">I. Introduction and Contextual Background</w:t>
      </w:r>
    </w:p>
    <w:p>
      <w:pPr>
        <w:pStyle w:val="FirstParagraph"/>
      </w:pPr>
      <w:r>
        <w:t xml:space="preserve">This laboratory report serves as a comprehensive documentation of the current operational standards, ethical considerations, and procedural frameworks governing medical research conducted within the jurisdiction of Russia Moscow. The primary objective of this document is to outline the critical role played by every Medical Researcher operating within this specific geographic and administrative region. As Russia Moscow continues to solidify its position as a burgeoning hub for pharmaceutical innovation and clinical trials in Eastern Europe, it is imperative that all documentation adheres to strict regulatory compliance while maintaining the highest scientific integrity.</w:t>
      </w:r>
    </w:p>
    <w:p>
      <w:pPr>
        <w:pStyle w:val="BodyText"/>
      </w:pPr>
      <w:r>
        <w:t xml:space="preserve">The scope of this report encompasses the transition from traditional laboratory analysis to modern, data-driven clinical methodologies. It specifically addresses how a Medical Researcher must navigate the complex intersection of local Russian healthcare regulations and international Good Clinical Practice (GCP) guidelines. The unique environmental and demographic factors present in Russia Moscow necessitate a tailored approach to patient recruitment, data privacy, and ethical oversight, distinguishing this protocol from studies conducted in Western Europe or North America.</w:t>
      </w:r>
    </w:p>
    <w:bookmarkEnd w:id="21"/>
    <w:bookmarkStart w:id="22" w:name="Xffc1328a7529ee3977f55aedb72b068da479f92"/>
    <w:p>
      <w:pPr>
        <w:pStyle w:val="Heading2"/>
      </w:pPr>
      <w:r>
        <w:t xml:space="preserve">II. Regulatory Framework for Medical Researcher Operations</w:t>
      </w:r>
    </w:p>
    <w:p>
      <w:pPr>
        <w:pStyle w:val="FirstParagraph"/>
      </w:pPr>
      <w:r>
        <w:t xml:space="preserve">In the context of a Medical Researcher working in Russia Moscow, the regulatory landscape is defined by stringent oversight from both federal bodies and local municipal health authorities. The primary governing entity remains the Ministry of Health of the Russian Federation, which dictates that all clinical investigations must be registered in state databases prior to initiation. For a Medical Researcher based in Russia Moscow, this involves not only federal compliance but also coordination with local municipal health departments that manage hospital affiliations.</w:t>
      </w:r>
    </w:p>
    <w:p>
      <w:pPr>
        <w:pStyle w:val="BodyText"/>
      </w:pPr>
      <w:r>
        <w:t xml:space="preserve">The document highlights that the title "Medical Researcher" carries significant legal weight. In Russia Moscow, this professional designation often requires dual accreditation: one confirming medical licensure to treat patients and another verifying specialized training in clinical trial methodology. This dual requirement ensures that the Medical Researcher possesses the holistic understanding necessary to manage both patient safety and scientific rigor. Failure to adhere to these specific requirements can result in severe penalties, including the suspension of research privileges within Russia Moscow.</w:t>
      </w:r>
    </w:p>
    <w:bookmarkEnd w:id="22"/>
    <w:bookmarkStart w:id="23" w:name="X78721e27cad0bc77ffeaa887801a4173d22193d"/>
    <w:p>
      <w:pPr>
        <w:pStyle w:val="Heading2"/>
      </w:pPr>
      <w:r>
        <w:t xml:space="preserve">III. Methodology and Laboratory Protocols</w:t>
      </w:r>
    </w:p>
    <w:p>
      <w:pPr>
        <w:pStyle w:val="FirstParagraph"/>
      </w:pPr>
      <w:r>
        <w:t xml:space="preserve">The methodology section of this report details the standardized operating procedures (SOPs) adopted by Medical Researcher teams in Russia Moscow. These protocols are designed to ensure reproducibility and accuracy across diverse clinical sites.</w:t>
      </w:r>
    </w:p>
    <w:p>
      <w:pPr>
        <w:pStyle w:val="BodyText"/>
      </w:pPr>
      <w:r>
        <w:rPr>
          <w:bCs/>
          <w:b/>
        </w:rPr>
        <w:t xml:space="preserve">Phase</w:t>
      </w:r>
    </w:p>
    <w:p>
      <w:pPr>
        <w:pStyle w:val="BodyText"/>
      </w:pPr>
      <w:r>
        <w:rPr>
          <w:bCs/>
          <w:b/>
        </w:rPr>
        <w:t xml:space="preserve">Description of Activities</w:t>
      </w:r>
    </w:p>
    <w:p>
      <w:pPr>
        <w:pStyle w:val="BodyText"/>
      </w:pPr>
      <w:r>
        <w:t xml:space="preserve">Russia Moscow Specifics</w:t>
      </w:r>
    </w:p>
    <w:p>
      <w:pPr>
        <w:pStyle w:val="BodyText"/>
      </w:pPr>
      <w:r>
        <w:t xml:space="preserve">Phase I</w:t>
      </w:r>
      <w:r>
        <w:br/>
      </w:r>
    </w:p>
    <w:p>
      <w:pPr>
        <w:pStyle w:val="BodyText"/>
      </w:pPr>
      <w:r>
        <w:t xml:space="preserve">Patient Selection</w:t>
      </w:r>
    </w:p>
    <w:p>
      <w:pPr>
        <w:pStyle w:val="BodyText"/>
      </w:pPr>
      <w:r>
        <w:rPr>
          <w:iCs/>
          <w:i/>
        </w:rPr>
        <w:t xml:space="preserve">Russia Moscow Demographics:</w:t>
      </w:r>
      <w:r>
        <w:t xml:space="preserve"> </w:t>
      </w:r>
      <w:r>
        <w:t xml:space="preserve">The Medical Researcher must account for the specific genetic and environmental backgrounds of patients in Russia Moscow. This includes adjusting for seasonal affective variations common in high-latitude climates, which can impact metabolic rates and drug efficacy. Special attention is paid to ensuring informed consent documents are translated into native dialects if necessary, though Russian remains the primary legal language.</w:t>
      </w:r>
    </w:p>
    <w:p>
      <w:pPr>
        <w:pStyle w:val="BodyText"/>
      </w:pPr>
      <w:r>
        <w:t xml:space="preserve">Phase II</w:t>
      </w:r>
      <w:r>
        <w:br/>
      </w:r>
    </w:p>
    <w:p>
      <w:pPr>
        <w:pStyle w:val="BodyText"/>
      </w:pPr>
      <w:r>
        <w:t xml:space="preserve">Data Collection</w:t>
      </w:r>
    </w:p>
    <w:p>
      <w:pPr>
        <w:pStyle w:val="BodyText"/>
      </w:pPr>
      <w:r>
        <w:rPr>
          <w:iCs/>
          <w:i/>
        </w:rPr>
        <w:t xml:space="preserve">Laboratory Standards:</w:t>
      </w:r>
      <w:r>
        <w:t xml:space="preserve"> </w:t>
      </w:r>
      <w:r>
        <w:t xml:space="preserve">In Russia Moscow, laboratory data must be stored on servers located within the physical borders of the Russian Federation to comply with federal data sovereignty laws. Medical Researcher teams are required to implement end-to-end encryption for all patient identifiers. This is a critical distinction for any study aiming for international publication.</w:t>
      </w:r>
    </w:p>
    <w:p>
      <w:pPr>
        <w:pStyle w:val="BodyText"/>
      </w:pPr>
      <w:r>
        <w:t xml:space="preserve">Phase III</w:t>
      </w:r>
      <w:r>
        <w:br/>
      </w:r>
    </w:p>
    <w:p>
      <w:pPr>
        <w:pStyle w:val="BodyText"/>
      </w:pPr>
      <w:r>
        <w:t xml:space="preserve">Ethical Review</w:t>
      </w:r>
    </w:p>
    <w:p>
      <w:pPr>
        <w:pStyle w:val="BodyText"/>
      </w:pPr>
      <w:r>
        <w:rPr>
          <w:iCs/>
          <w:i/>
        </w:rPr>
        <w:t xml:space="preserve">Institutional Ethics:</w:t>
      </w:r>
      <w:r>
        <w:t xml:space="preserve"> </w:t>
      </w:r>
      <w:r>
        <w:t xml:space="preserve">Every Medical Researcher proposal in Russia Moscow must undergo review by an Independent Ethics Committee (IEC). The IEC in this jurisdiction places heavy emphasis on the protection of vulnerable populations and the transparency of compensation for trial participants.</w:t>
      </w:r>
    </w:p>
    <w:bookmarkEnd w:id="23"/>
    <w:bookmarkStart w:id="24" w:name="X23ae333e9354963c0baa94fcc3eb8accd29d071"/>
    <w:p>
      <w:pPr>
        <w:pStyle w:val="Heading2"/>
      </w:pPr>
      <w:r>
        <w:t xml:space="preserve">IV. Ethical Considerations and Patient Safety</w:t>
      </w:r>
    </w:p>
    <w:p>
      <w:pPr>
        <w:pStyle w:val="FirstParagraph"/>
      </w:pPr>
      <w:r>
        <w:t xml:space="preserve">Ethics form the cornerstone of any successful Medical Researcher initiative in Russia Moscow. The report emphasizes that while international ethical standards provide a baseline, local cultural nuances must be respected. For instance, in many communities within Russia Moscow, the family unit plays a crucial role in healthcare decision-making. Therefore, Medical Researcher protocols often involve broader family consultations during the informed consent process.</w:t>
      </w:r>
    </w:p>
    <w:p>
      <w:pPr>
        <w:pStyle w:val="BodyText"/>
      </w:pPr>
      <w:r>
        <w:t xml:space="preserve">Furthermore, patient safety monitoring is continuous. Medical Researcher teams are mandated to report any Adverse Events (AEs) to the regulatory authorities within 24 hours if they are serious or unexpected. This rapid reporting mechanism is particularly vital in Russia Moscow due to the high volume of clinical trials conducted annually across its major medical centers.</w:t>
      </w:r>
    </w:p>
    <w:bookmarkEnd w:id="24"/>
    <w:bookmarkStart w:id="25" w:name="v.-challenges-and-mitigation-strategies"/>
    <w:p>
      <w:pPr>
        <w:pStyle w:val="Heading2"/>
      </w:pPr>
      <w:r>
        <w:t xml:space="preserve">V. Challenges and Mitigation Strategies</w:t>
      </w:r>
    </w:p>
    <w:p>
      <w:pPr>
        <w:pStyle w:val="FirstParagraph"/>
      </w:pPr>
      <w:r>
        <w:t xml:space="preserve">The report acknowledges several challenges unique to conducting research in this region. Geographical size, while not an issue within the city limits of Russia Moscow, often complicates multi-center trials that require satellite sites in other Russian regions. Medical Researcher teams must therefore rely heavily on robust telemedicine infrastructure and centralized data management systems.</w:t>
      </w:r>
    </w:p>
    <w:p>
      <w:pPr>
        <w:pStyle w:val="BodyText"/>
      </w:pPr>
      <w:r>
        <w:t xml:space="preserve">Another challenge is the linguistic barrier for international pharmaceutical sponsors. The requirement that all primary documentation be in Russian means that Medical Researcher teams often work alongside professional medical translators to ensure semantic accuracy between the original study protocol and its Russian localization. Any discrepancy in translation can lead to significant regulatory delays.</w:t>
      </w:r>
    </w:p>
    <w:bookmarkEnd w:id="25"/>
    <w:bookmarkStart w:id="26" w:name="vi.-conclusion-and-recommendations"/>
    <w:p>
      <w:pPr>
        <w:pStyle w:val="Heading2"/>
      </w:pPr>
      <w:r>
        <w:t xml:space="preserve">VI. Conclusion and Recommendations</w:t>
      </w:r>
    </w:p>
    <w:p>
      <w:pPr>
        <w:pStyle w:val="FirstParagraph"/>
      </w:pPr>
      <w:r>
        <w:t xml:space="preserve">In conclusion, this Laboratory Report underscores the rigorous standards required of a Medical Researcher operating in Russia Moscow. The combination of strict federal oversight, data sovereignty laws, and specific ethical considerations creates a unique environment that demands high levels of professionalism and adaptability.</w:t>
      </w:r>
    </w:p>
    <w:p>
      <w:pPr>
        <w:pStyle w:val="BodyText"/>
      </w:pPr>
      <w:r>
        <w:t xml:space="preserve">We recommend that all external partners seeking to collaborate with institutions in Russia Moscow ensure their Medical Researcher staff undergo localized training regarding these specific regulatory frameworks. By respecting the local context while maintaining global scientific standards, we can ensure that medical breakthroughs derived from studies in Russia Moscow are both ethically sound and scientifically robust.</w:t>
      </w:r>
    </w:p>
    <w:p>
      <w:pPr>
        <w:pStyle w:val="BodyText"/>
      </w:pPr>
      <w:r>
        <w:t xml:space="preserve">The future of medical innovation in this region depends on the continued collaboration between local Medical Researcher experts and international bodies, fostering an environment where patient safety and scientific discovery thrive within the structured legal framework of Russia Moscow.</w:t>
      </w:r>
    </w:p>
    <w:p>
      <w:pPr>
        <w:pStyle w:val="BodyText"/>
      </w:pPr>
      <w:r>
        <w:rPr>
          <w:bCs/>
          <w:b/>
        </w:rPr>
        <w:t xml:space="preserve">Disclaimer:</w:t>
      </w:r>
      <w:r>
        <w:t xml:space="preserve"> </w:t>
      </w:r>
      <w:r>
        <w:t xml:space="preserve">This document is for internal laboratory review and regulatory compliance purposes. Distribution outside authorized entities in Russia Moscow requires prior written consent from the Chief Medical Researcher. All data presented here is hypothetical for the purpose of this template demonstration.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Medical Researcher Protocol in Russia Moscow</dc:title>
  <dc:creator/>
  <dc:language>en</dc:language>
  <cp:keywords/>
  <dcterms:created xsi:type="dcterms:W3CDTF">2026-07-29T20:35:10Z</dcterms:created>
  <dcterms:modified xsi:type="dcterms:W3CDTF">2026-07-29T20:35:10Z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