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Lab</w:t>
      </w:r>
      <w:r>
        <w:t xml:space="preserve"> </w:t>
      </w:r>
      <w:r>
        <w:t xml:space="preserve">Report:</w:t>
      </w:r>
      <w:r>
        <w:t xml:space="preserve"> </w:t>
      </w:r>
      <w:r>
        <w:t xml:space="preserve">Zurich,</w:t>
      </w:r>
      <w:r>
        <w:t xml:space="preserve"> </w:t>
      </w:r>
      <w:r>
        <w:t xml:space="preserve">Switzerland</w:t>
      </w:r>
    </w:p>
    <w:bookmarkStart w:id="20" w:name="laboratory-administrative-metadata"/>
    <w:p>
      <w:pPr>
        <w:pStyle w:val="Heading3"/>
      </w:pPr>
      <w:r>
        <w:t xml:space="preserve">Laboratory Administrative Metadata</w:t>
      </w:r>
    </w:p>
    <w:p>
      <w:pPr>
        <w:pStyle w:val="FirstParagraph"/>
      </w:pPr>
      <w:r>
        <w:rPr>
          <w:bCs/>
          <w:b/>
        </w:rPr>
        <w:t xml:space="preserve">Date:</w:t>
      </w:r>
      <w:r>
        <w:t xml:space="preserve"> </w:t>
      </w:r>
      <w:r>
        <w:t xml:space="preserve">October 24, 2023</w:t>
      </w:r>
    </w:p>
    <w:p>
      <w:pPr>
        <w:pStyle w:val="BodyText"/>
      </w:pPr>
      <w:r>
        <w:rPr>
          <w:bCs/>
          <w:b/>
        </w:rPr>
        <w:t xml:space="preserve">Institution:</w:t>
      </w:r>
    </w:p>
    <w:p>
      <w:pPr>
        <w:pStyle w:val="BodyText"/>
      </w:pPr>
      <w:r>
        <w:rPr>
          <w:bCs/>
          <w:b/>
        </w:rPr>
        <w:t xml:space="preserve">Jurisdiction: Switzerland, Canton of Zurich</w:t>
      </w:r>
    </w:p>
    <w:p>
      <w:pPr>
        <w:pStyle w:val="BodyText"/>
      </w:pPr>
      <w:r>
        <w:t xml:space="preserve">Subject: Clinical Protocol and Safety Analysis for Phase III Oncology Trial</w:t>
      </w:r>
    </w:p>
    <w:bookmarkEnd w:id="20"/>
    <w:bookmarkStart w:id="30" w:name="X23b24baed5f393acca62503794d09dccf94cd1b"/>
    <w:p>
      <w:pPr>
        <w:pStyle w:val="Heading1"/>
      </w:pPr>
      <w:r>
        <w:t xml:space="preserve">Clinical Laboratory Report: Advanced Immunotherapy Efficacy Assessment</w:t>
      </w:r>
    </w:p>
    <w:bookmarkStart w:id="21" w:name="executive-summary"/>
    <w:p>
      <w:pPr>
        <w:pStyle w:val="Heading2"/>
      </w:pPr>
      <w:r>
        <w:t xml:space="preserve">1. Executive Summary</w:t>
      </w:r>
    </w:p>
    <w:p>
      <w:pPr>
        <w:pStyle w:val="FirstParagraph"/>
      </w:pPr>
      <w:r>
        <w:t xml:space="preserve">This comprehensive lab report serves as the definitive documentation for the ongoing clinical trials conducted by our designated medical researcher team within the strict regulatory framework of Switzerland, specifically in the hub of Zurich. The primary objective of this study is to evaluate the long-term efficacy and safety profile of a novel checkpoint inhibitor monoclonal antibody. As a leading center for biomedical innovation,</w:t>
      </w:r>
      <w:r>
        <w:t xml:space="preserve"> </w:t>
      </w:r>
      <w:r>
        <w:rPr>
          <w:bCs/>
          <w:b/>
        </w:rPr>
        <w:t xml:space="preserve">Switzerland Zurich</w:t>
      </w:r>
      <w:r>
        <w:t xml:space="preserve"> </w:t>
      </w:r>
      <w:r>
        <w:t xml:space="preserve">provides an unparalleled infrastructure for high-precision medical research. This document outlines the methodological rigor, ethical compliance with Swiss law, data integrity protocols, and preliminary findings that contribute to the global understanding of oncological treatments.</w:t>
      </w:r>
    </w:p>
    <w:bookmarkEnd w:id="21"/>
    <w:bookmarkStart w:id="22" w:name="introduction-and-contextual-background"/>
    <w:p>
      <w:pPr>
        <w:pStyle w:val="Heading2"/>
      </w:pPr>
      <w:r>
        <w:t xml:space="preserve">2. Introduction and Contextual Background</w:t>
      </w:r>
    </w:p>
    <w:p>
      <w:pPr>
        <w:pStyle w:val="FirstParagraph"/>
      </w:pPr>
      <w:r>
        <w:t xml:space="preserve">The role of a</w:t>
      </w:r>
      <w:r>
        <w:t xml:space="preserve"> </w:t>
      </w:r>
      <w:r>
        <w:rPr>
          <w:bCs/>
          <w:b/>
        </w:rPr>
        <w:t xml:space="preserve">Medical Researcher</w:t>
      </w:r>
      <w:r>
        <w:t xml:space="preserve"> </w:t>
      </w:r>
      <w:r>
        <w:t xml:space="preserve">in modern healthcare is pivotal, bridging the gap between theoretical biochemistry and practical clinical application. In this study, the medical researcher acts as the principal investigator responsible for overseeing all aspects of data collection, patient safety monitoring, and statistical analysis. The choice of location is critical; conducting this research in</w:t>
      </w:r>
      <w:r>
        <w:t xml:space="preserve"> </w:t>
      </w:r>
      <w:r>
        <w:rPr>
          <w:bCs/>
          <w:b/>
        </w:rPr>
        <w:t xml:space="preserve">Switzerland Zurich</w:t>
      </w:r>
      <w:r>
        <w:t xml:space="preserve"> </w:t>
      </w:r>
      <w:r>
        <w:t xml:space="preserve">ensures adherence to some of the most rigorous ethical and safety standards in the world. The Swiss Agency for Therapeutic Products (Swissmedic) maintains strict oversight, ensuring that every procedure documented in this lab report meets international best practices.</w:t>
      </w:r>
    </w:p>
    <w:p>
      <w:pPr>
        <w:pStyle w:val="BodyText"/>
      </w:pPr>
      <w:r>
        <w:t xml:space="preserve">Zurich, as a global hub for pharmaceutical innovation, hosts a unique concentration of expertise and technology. The collaboration between academic institutions like ETH Zurich and clinical centers such as the University Hospital allows for rapid translation of bench-side discoveries to bedside applications. This synergy is fundamental to the success of our current project, which aims to reduce immune-related adverse events while maximizing tumor response rates.</w:t>
      </w:r>
    </w:p>
    <w:bookmarkEnd w:id="22"/>
    <w:bookmarkStart w:id="25" w:name="methodology-and-experimental-design"/>
    <w:p>
      <w:pPr>
        <w:pStyle w:val="Heading2"/>
      </w:pPr>
      <w:r>
        <w:t xml:space="preserve">3. Methodology and Experimental Design</w:t>
      </w:r>
    </w:p>
    <w:p>
      <w:pPr>
        <w:pStyle w:val="FirstParagraph"/>
      </w:pPr>
      <w:r>
        <w:t xml:space="preserve">The methodology employed in this lab report reflects the high standards expected of a dedicated medical researcher. The study utilizes a randomized, double-blind, placebo-controlled design involving 450 participants recruited from clinics across the Canton of Zurich.</w:t>
      </w:r>
    </w:p>
    <w:bookmarkStart w:id="23" w:name="sample-collection-and-processing"/>
    <w:p>
      <w:pPr>
        <w:pStyle w:val="Heading3"/>
      </w:pPr>
      <w:r>
        <w:t xml:space="preserve">3.1 Sample Collection and Processing</w:t>
      </w:r>
    </w:p>
    <w:p>
      <w:pPr>
        <w:pStyle w:val="FirstParagraph"/>
      </w:pPr>
      <w:r>
        <w:t xml:space="preserve">Blood samples were collected at baseline, week four, week twelve, and subsequent quarterly intervals. The processing of these samples was conducted in accordance with Good Laboratory Practice (GLP) guidelines mandated in Switzerland. Each sample was subjected to rigorous quality control checks to ensure the integrity of biomarkers relevant to immune response.</w:t>
      </w:r>
    </w:p>
    <w:bookmarkEnd w:id="23"/>
    <w:bookmarkStart w:id="24" w:name="ethical-considerations"/>
    <w:p>
      <w:pPr>
        <w:pStyle w:val="Heading3"/>
      </w:pPr>
      <w:r>
        <w:t xml:space="preserve">3.2 Ethical Considerations</w:t>
      </w:r>
    </w:p>
    <w:p>
      <w:pPr>
        <w:pStyle w:val="FirstParagraph"/>
      </w:pPr>
      <w:r>
        <w:t xml:space="preserve">Ethical approval was obtained from the Cantonal Ethics Committee of Zurich. The medical researcher ensured that all participants provided informed consent, a process strictly regulated under the Swiss Human Research Act (HRA). Patient confidentiality was maintained through de-identification protocols, ensuring that personal data remains secure within Swiss digital health infrastructure.</w:t>
      </w:r>
    </w:p>
    <w:bookmarkEnd w:id="24"/>
    <w:bookmarkEnd w:id="25"/>
    <w:bookmarkStart w:id="26" w:name="data-analysis-and-results"/>
    <w:p>
      <w:pPr>
        <w:pStyle w:val="Heading2"/>
      </w:pPr>
      <w:r>
        <w:t xml:space="preserve">4. Data Analysis and Results</w:t>
      </w:r>
    </w:p>
    <w:p>
      <w:pPr>
        <w:pStyle w:val="FirstParagraph"/>
      </w:pPr>
      <w:r>
        <w:t xml:space="preserve">The analysis phase of this lab report involves complex statistical modeling to determine the significance of observed outcomes. The medical researcher utilized advanced machine learning algorithms to correlate biomarker levels with clinical outcomes.</w:t>
      </w:r>
    </w:p>
    <w:p>
      <w:pPr>
        <w:pStyle w:val="BodyText"/>
      </w:pPr>
      <w:r>
        <w:t xml:space="preserve">Metric</w:t>
      </w:r>
    </w:p>
    <w:bookmarkEnd w:id="26"/>
    <w:p>
      <w:pPr>
        <w:pStyle w:val="BodyText"/>
      </w:pPr>
      <w:r>
        <w:t xml:space="preserve">Treatment Group (n=225)</w:t>
      </w:r>
    </w:p>
    <w:p>
      <w:pPr>
        <w:pStyle w:val="BodyText"/>
      </w:pPr>
      <w:r>
        <w:t xml:space="preserve">Placebo Group (n=225)</w:t>
      </w:r>
      <w:r>
        <w:t xml:space="preserve"> </w:t>
      </w:r>
      <w:r>
        <w:t xml:space="preserve">p-value</w:t>
      </w:r>
      <w:r>
        <w:t xml:space="preserve"> </w:t>
      </w:r>
      <w:r>
        <w:t xml:space="preserve">&lt; tbody &gt;</w:t>
      </w:r>
      <w:r>
        <w:t xml:space="preserve"> </w:t>
      </w:r>
      <w:r>
        <w:t xml:space="preserve">&lt; tr &gt;&lt; td tumor shrinkage rate (%)&lt; td 45.8%&lt; /td &gt;&lt; t d&gt;12.3%</w:t>
      </w:r>
    </w:p>
    <w:p>
      <w:pPr>
        <w:pStyle w:val="BodyText"/>
      </w:pPr>
      <w:r>
        <w:t xml:space="preserve">&lt;0.001</w:t>
      </w:r>
    </w:p>
    <w:p>
      <w:pPr>
        <w:pStyle w:val="BodyText"/>
      </w:pPr>
      <w:r>
        <w:t xml:space="preserve">Serious Adverse Events (%)</w:t>
      </w:r>
      <w:r>
        <w:t xml:space="preserve"> </w:t>
      </w:r>
      <w:r>
        <w:t xml:space="preserve">8.2%</w:t>
      </w:r>
      <w:r>
        <w:t xml:space="preserve"> </w:t>
      </w:r>
      <w:r>
        <w:t xml:space="preserve">&lt; td &gt;5.6%&lt; /td &gt;&lt; t d &gt;&gt;0.05&lt; /td &gt;&lt; /tr &gt;&lt; tr &gt;&lt; td Median Progression-Free Survival (Months)&lt; /td&gt;&lt; t d&gt;14.2</w:t>
      </w:r>
    </w:p>
    <w:p>
      <w:pPr>
        <w:pStyle w:val="BodyText"/>
      </w:pPr>
      <w:r>
        <w:t xml:space="preserve">The results indicate a statistically significant improvement in tumor shrinkage rates for the treatment group. However, the medical researcher notes a slight increase in manageable immune-related adverse events, necessitating careful monitoring protocols. These findings are crucial for adjusting dosage recommendations and patient selection criteria for future phases.</w:t>
      </w:r>
    </w:p>
    <w:bookmarkStart w:id="27" w:name="Xc592868dc40e828f212bcc0b9bd55b65519c17d"/>
    <w:p>
      <w:pPr>
        <w:pStyle w:val="Heading2"/>
      </w:pPr>
      <w:r>
        <w:t xml:space="preserve">5. Discussion: The Role of Precision in Zurich</w:t>
      </w:r>
    </w:p>
    <w:p>
      <w:pPr>
        <w:pStyle w:val="FirstParagraph"/>
      </w:pPr>
      <w:r>
        <w:t xml:space="preserve">The precision with which this data was collected underscores the advantages of conducting medical research in Switzerland. The infrastructure in Zurich supports high-throughput sequencing and real-time data analytics, allowing the medical researcher to adapt protocols dynamically if safety signals emerge. Furthermore, the multicultural environment of Zurich facilitates diverse patient recruitment, enhancing the generalizability of our findings.</w:t>
      </w:r>
    </w:p>
    <w:p>
      <w:pPr>
        <w:pStyle w:val="BodyText"/>
      </w:pPr>
      <w:r>
        <w:t xml:space="preserve">It is imperative to highlight that this lab report not only presents data but also emphasizes transparency. The medical researcher has made raw datasets available for peer review through secure channels approved by Swiss data protection authorities. This level of openness is critical for building trust within the global scientific community and ensuring that subsequent research can build upon these solid foundations.</w:t>
      </w:r>
    </w:p>
    <w:bookmarkEnd w:id="27"/>
    <w:bookmarkStart w:id="28" w:name="conclusion-and-future-directions"/>
    <w:p>
      <w:pPr>
        <w:pStyle w:val="Heading2"/>
      </w:pPr>
      <w:r>
        <w:t xml:space="preserve">6. Conclusion and Future Directions</w:t>
      </w:r>
    </w:p>
    <w:p>
      <w:pPr>
        <w:pStyle w:val="FirstParagraph"/>
      </w:pPr>
      <w:r>
        <w:t xml:space="preserve">In conclusion, this lab report demonstrates the viability of the novel immunotherapy under investigation. The meticulous work of the medical researcher has provided clear evidence of efficacy while highlighting areas for safety optimization. As we proceed to Phase IV studies, the lessons learned in Switzerland Zurich will continue to guide our approach.</w:t>
      </w:r>
    </w:p>
    <w:p>
      <w:pPr>
        <w:pStyle w:val="BodyText"/>
      </w:pPr>
      <w:r>
        <w:t xml:space="preserve">The collaboration between academic rigor and clinical excellence in this region sets a benchmark for global medical research. We anticipate that these findings will contribute significantly to the treatment landscape, ultimately benefiting patients worldwide. Continued monitoring and adherence to ethical standards remain paramount as we move forward with this critical healthcare initiative.</w:t>
      </w:r>
    </w:p>
    <w:bookmarkEnd w:id="28"/>
    <w:bookmarkStart w:id="29" w:name="signatures"/>
    <w:p>
      <w:pPr>
        <w:pStyle w:val="Heading2"/>
      </w:pPr>
      <w:r>
        <w:t xml:space="preserve">7. Signatures</w:t>
      </w:r>
    </w:p>
    <w:p>
      <w:pPr>
        <w:pStyle w:val="FirstParagraph"/>
      </w:pPr>
      <w:r>
        <w:rPr>
          <w:bCs/>
          <w:b/>
        </w:rPr>
        <w:t xml:space="preserve">Signed:</w:t>
      </w:r>
    </w:p>
    <w:p>
      <w:pPr>
        <w:pStyle w:val="BodyText"/>
      </w:pPr>
      <w:r>
        <w:t xml:space="preserve">Dr. Hans Mueller, PhD</w:t>
      </w:r>
      <w:r>
        <w:br/>
      </w:r>
      <w:r>
        <w:t xml:space="preserve">Principal Medical Researcher</w:t>
      </w:r>
      <w:r>
        <w:br/>
      </w:r>
      <w:r>
        <w:t xml:space="preserve">Zurich, Switzerland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Lab Report: Zurich, Switzerland</dc:title>
  <dc:creator/>
  <dc:language>en</dc:language>
  <cp:keywords/>
  <dcterms:created xsi:type="dcterms:W3CDTF">2026-07-29T19:37:29Z</dcterms:created>
  <dcterms:modified xsi:type="dcterms:W3CDTF">2026-07-29T19:37:29Z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