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laboratory-and-clinical-research-report"/>
    <w:p>
      <w:pPr>
        <w:pStyle w:val="Heading1"/>
      </w:pPr>
      <w:r>
        <w:t xml:space="preserve">Laboratory and Clinical Research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 Abu Dhabi &amp; Dubai Health Authority (DHA)</w:t>
      </w:r>
      <w:r>
        <w:br/>
      </w:r>
      <w:r>
        <w:t xml:space="preserve">: Senior Medical Researcher</w:t>
      </w:r>
      <w:r>
        <w:br/>
      </w:r>
    </w:p>
    <w:p>
      <w:pPr>
        <w:pStyle w:val="BodyText"/>
      </w:pPr>
      <w:r>
        <w:rPr>
          <w:bCs/>
          <w:b/>
        </w:rPr>
        <w:t xml:space="preserve">Abstract:</w:t>
      </w:r>
      <w:r>
        <w:br/>
      </w:r>
      <w:r>
        <w:t xml:space="preserve">This document serves as a formal lab report detailing the operational, ethical, and scientific frameworks governing a</w:t>
      </w:r>
      <w:r>
        <w:t xml:space="preserve"> </w:t>
      </w:r>
      <w:r>
        <w:rPr>
          <w:iCs/>
          <w:i/>
        </w:rPr>
        <w:t xml:space="preserve">Medical Researcher</w:t>
      </w:r>
      <w:r>
        <w:t xml:space="preserve"> </w:t>
      </w:r>
      <w:r>
        <w:t xml:space="preserve">operating in the dynamic healthcare landscape of the</w:t>
      </w:r>
      <w:r>
        <w:t xml:space="preserve"> </w:t>
      </w:r>
      <w:r>
        <w:rPr>
          <w:iCs/>
          <w:i/>
        </w:rPr>
        <w:t xml:space="preserve">United Arab Emirates Dubai</w:t>
      </w:r>
      <w:r>
        <w:t xml:space="preserve">. The report evaluates how advanced research methodologies intersect with local regulatory standards to foster innovation while maintaining patient safety and cultural integrity.</w:t>
      </w:r>
    </w:p>
    <w:bookmarkStart w:id="20" w:name="introduction-and-contextual-background"/>
    <w:p>
      <w:pPr>
        <w:pStyle w:val="Heading2"/>
      </w:pPr>
      <w:r>
        <w:t xml:space="preserve">1. Introduction and Contextual Background</w:t>
      </w:r>
    </w:p>
    <w:p>
      <w:pPr>
        <w:pStyle w:val="FirstParagraph"/>
      </w:pPr>
      <w:r>
        <w:t xml:space="preserve">The global medical landscape is undergoing a paradigm shift driven by data-driven insights, genomic advancements, and personalized medicine. In the</w:t>
      </w:r>
      <w:r>
        <w:t xml:space="preserve"> </w:t>
      </w:r>
      <w:r>
        <w:rPr>
          <w:iCs/>
          <w:i/>
        </w:rPr>
        <w:t xml:space="preserve">United Arab Emirates Dubai</w:t>
      </w:r>
      <w:r>
        <w:t xml:space="preserve">, this shift is not merely a trend but a strategic national priority aligned with the UAE Vision 2031 and Dubai Health Strategy 2021. The role of the</w:t>
      </w:r>
      <w:r>
        <w:t xml:space="preserve"> </w:t>
      </w:r>
      <w:r>
        <w:rPr>
          <w:iCs/>
          <w:i/>
        </w:rPr>
        <w:t xml:space="preserve">Medical Researcher</w:t>
      </w:r>
      <w:r>
        <w:t xml:space="preserve"> </w:t>
      </w:r>
      <w:r>
        <w:t xml:space="preserve">has evolved from traditional academic inquiry to becoming a central pillar in public health policy, clinical trial optimization, and healthcare technology integration.</w:t>
      </w:r>
    </w:p>
    <w:p>
      <w:pPr>
        <w:pStyle w:val="BodyText"/>
      </w:pPr>
      <w:r>
        <w:t xml:space="preserve">This report analyzes the specific duties, ethical considerations, and technological applications required of a</w:t>
      </w:r>
      <w:r>
        <w:t xml:space="preserve"> </w:t>
      </w:r>
      <w:r>
        <w:rPr>
          <w:iCs/>
          <w:i/>
        </w:rPr>
        <w:t xml:space="preserve">Medical Researcher</w:t>
      </w:r>
      <w:r>
        <w:t xml:space="preserve"> </w:t>
      </w:r>
      <w:r>
        <w:t xml:space="preserve">within the unique bi-regulatory environment of the</w:t>
      </w:r>
      <w:r>
        <w:t xml:space="preserve"> </w:t>
      </w:r>
      <w:r>
        <w:rPr>
          <w:iCs/>
          <w:i/>
        </w:rPr>
        <w:t xml:space="preserve">United Arab Emirates Dubai</w:t>
      </w:r>
      <w:r>
        <w:t xml:space="preserve">. Unlike other jurisdictions where research may be governed by a single central body, practitioners in this region must navigate the complex interplay between federal guidelines issued by the Ministry of Health and Prevention (MOHAP) and local mandates enforced by the Dubai Health Authority (DHA).</w:t>
      </w:r>
    </w:p>
    <w:bookmarkEnd w:id="20"/>
    <w:bookmarkStart w:id="21" w:name="objectives-of-the-research-framework"/>
    <w:p>
      <w:pPr>
        <w:pStyle w:val="Heading2"/>
      </w:pPr>
      <w:r>
        <w:t xml:space="preserve">2. Objectives of the Research Framework</w:t>
      </w:r>
    </w:p>
    <w:p>
      <w:pPr>
        <w:pStyle w:val="FirstParagraph"/>
      </w:pPr>
      <w:r>
        <w:t xml:space="preserve">The primary objective of this lab report is to define the standard operating procedures (SOPs) for medical research activities. Specifically, we aim to:</w:t>
      </w:r>
    </w:p>
    <w:p>
      <w:pPr>
        <w:numPr>
          <w:ilvl w:val="0"/>
          <w:numId w:val="1001"/>
        </w:numPr>
        <w:pStyle w:val="Compact"/>
      </w:pPr>
      <w:r>
        <w:t xml:space="preserve">Delineate the scope of work for a</w:t>
      </w:r>
      <w:r>
        <w:t xml:space="preserve"> </w:t>
      </w:r>
      <w:r>
        <w:rPr>
          <w:iCs/>
          <w:i/>
        </w:rPr>
        <w:t xml:space="preserve">Medical Researcher</w:t>
      </w:r>
      <w:r>
        <w:t xml:space="preserve"> </w:t>
      </w:r>
      <w:r>
        <w:t xml:space="preserve">in clinical and non-clinical settings.</w:t>
      </w:r>
    </w:p>
    <w:p>
      <w:pPr>
        <w:numPr>
          <w:ilvl w:val="0"/>
          <w:numId w:val="1001"/>
        </w:numPr>
        <w:pStyle w:val="Compact"/>
      </w:pPr>
      <w:r>
        <w:t xml:space="preserve">Analyze the compliance requirements specific to the regulatory bodies in the</w:t>
      </w:r>
      <w:r>
        <w:t xml:space="preserve"> </w:t>
      </w:r>
      <w:r>
        <w:rPr>
          <w:iCs/>
          <w:i/>
        </w:rPr>
        <w:t xml:space="preserve">United Arab Emirates Dubai</w:t>
      </w:r>
      <w:r>
        <w:t xml:space="preserve">.</w:t>
      </w:r>
    </w:p>
    <w:p>
      <w:pPr>
        <w:numPr>
          <w:ilvl w:val="0"/>
          <w:numId w:val="1001"/>
        </w:numPr>
        <w:pStyle w:val="Compact"/>
      </w:pPr>
      <w:r>
        <w:t xml:space="preserve">Evaluate how cultural sensitivity and data privacy laws influence research design.</w:t>
      </w:r>
    </w:p>
    <w:p>
      <w:pPr>
        <w:numPr>
          <w:ilvl w:val="0"/>
          <w:numId w:val="1001"/>
        </w:numPr>
        <w:pStyle w:val="Compact"/>
      </w:pPr>
      <w:r>
        <w:t xml:space="preserve">Demonstrate the integration of artificial intelligence and big data analytics in local medical studies.</w:t>
      </w:r>
    </w:p>
    <w:bookmarkEnd w:id="21"/>
    <w:bookmarkStart w:id="24" w:name="X5c0293f91685413918a7f2d79ce52bdb61fa6da"/>
    <w:p>
      <w:pPr>
        <w:pStyle w:val="Heading2"/>
      </w:pPr>
      <w:r>
        <w:t xml:space="preserve">3. Regulatory Environment in United Arab Emirates Dubai</w:t>
      </w:r>
    </w:p>
    <w:p>
      <w:pPr>
        <w:pStyle w:val="FirstParagraph"/>
      </w:pPr>
      <w:r>
        <w:t xml:space="preserve">A critical component of any lab report concerning medical research is the adherence to legal and ethical standards. In the context of the</w:t>
      </w:r>
      <w:r>
        <w:t xml:space="preserve"> </w:t>
      </w:r>
      <w:r>
        <w:rPr>
          <w:iCs/>
          <w:i/>
        </w:rPr>
        <w:t xml:space="preserve">United Arab Emirates Dubai</w:t>
      </w:r>
      <w:r>
        <w:t xml:space="preserve">, researchers must operate under strict governance.</w:t>
      </w:r>
    </w:p>
    <w:bookmarkStart w:id="22" w:name="the-role-of-dha-and-mohap"/>
    <w:p>
      <w:pPr>
        <w:pStyle w:val="Heading3"/>
      </w:pPr>
      <w:r>
        <w:t xml:space="preserve">3.1 The Role of DHA and MOHAP</w:t>
      </w:r>
    </w:p>
    <w:p>
      <w:pPr>
        <w:pStyle w:val="FirstParagraph"/>
      </w:pPr>
      <w:r>
        <w:t xml:space="preserve">The Medical Researcher must secure approval from relevant Institutional Review Boards (IRBs) which are accredited by the DHA. These boards ensure that all research protocols meet international standards while respecting local cultural norms. For instance, studies involving genetic data or religious demographics require heightened sensitivity and specific consent forms that are culturally adapted for the Emirati population.</w:t>
      </w:r>
    </w:p>
    <w:bookmarkEnd w:id="22"/>
    <w:bookmarkStart w:id="23" w:name="ethical-compliance"/>
    <w:p>
      <w:pPr>
        <w:pStyle w:val="Heading3"/>
      </w:pPr>
      <w:r>
        <w:t xml:space="preserve">3.2 Ethical Compliance</w:t>
      </w:r>
    </w:p>
    <w:p>
      <w:pPr>
        <w:pStyle w:val="FirstParagraph"/>
      </w:pPr>
      <w:r>
        <w:t xml:space="preserve">Ethics in medical research is non-negotiable. The Medical Researcher must ensure informed consent is obtained without coercion, particularly given the hierarchical nature of some workplace environments in Dubai. Furthermore, data anonymization must be rigorous to comply with the UAE’s Federal Decree-Law No. 45 of 2021 regarding Personal Data Protection, ensuring that patient identities remain secure during analysis.</w:t>
      </w:r>
    </w:p>
    <w:bookmarkEnd w:id="23"/>
    <w:bookmarkEnd w:id="24"/>
    <w:bookmarkStart w:id="27" w:name="methodological-approach"/>
    <w:p>
      <w:pPr>
        <w:pStyle w:val="Heading2"/>
      </w:pPr>
      <w:r>
        <w:t xml:space="preserve">4. Methodological Approach</w:t>
      </w:r>
    </w:p>
    <w:p>
      <w:pPr>
        <w:pStyle w:val="FirstParagraph"/>
      </w:pPr>
      <w:r>
        <w:t xml:space="preserve">This section outlines the laboratory and clinical methodologies employed by a Medical Researcher in this jurisdiction.</w:t>
      </w:r>
    </w:p>
    <w:bookmarkStart w:id="25" w:name="clinical-trials-and-patient-recruitment"/>
    <w:p>
      <w:pPr>
        <w:pStyle w:val="Heading3"/>
      </w:pPr>
      <w:r>
        <w:t xml:space="preserve">4.1 Clinical Trials and Patient Recruitment</w:t>
      </w:r>
    </w:p>
    <w:p>
      <w:pPr>
        <w:pStyle w:val="FirstParagraph"/>
      </w:pPr>
      <w:r>
        <w:t xml:space="preserve">In Dubai’s multi-cultural healthcare sector, recruitment strategies must be diverse yet targeted. A Medical Researcher must account for the genetic diversity of the expatriate population while also focusing on specific health trends prevalent among Emirati nationals, such as diabetes management and cardiovascular health. The lab report indicates that successful research in this region often requires bilingual coordination teams to facilitate accurate patient understanding and consent.</w:t>
      </w:r>
    </w:p>
    <w:bookmarkEnd w:id="25"/>
    <w:bookmarkStart w:id="26" w:name="laboratory-analysis-protocols"/>
    <w:p>
      <w:pPr>
        <w:pStyle w:val="Heading3"/>
      </w:pPr>
      <w:r>
        <w:t xml:space="preserve">4.2 Laboratory Analysis Protocols</w:t>
      </w:r>
    </w:p>
    <w:p>
      <w:pPr>
        <w:pStyle w:val="FirstParagraph"/>
      </w:pPr>
      <w:r>
        <w:t xml:space="preserve">The laboratory aspect of the Medical Researcher’s role involves advanced diagnostic testing. In the</w:t>
      </w:r>
      <w:r>
        <w:t xml:space="preserve"> </w:t>
      </w:r>
      <w:r>
        <w:rPr>
          <w:iCs/>
          <w:i/>
        </w:rPr>
        <w:t xml:space="preserve">United Arab Emirates Dubai</w:t>
      </w:r>
      <w:r>
        <w:t xml:space="preserve">, laboratories are required to maintain CAP (College of American Pathologists) accreditation or equivalent international standards. This ensures that any biological samples analyzed for research purposes yield data that is globally comparable and locally valid.</w:t>
      </w:r>
    </w:p>
    <w:p>
      <w:pPr>
        <w:pStyle w:val="BodyText"/>
      </w:pPr>
      <w:r>
        <w:t xml:space="preserve">Data collection processes utilize electronic health records (EHR) systems integrated across Dubai’s hospitals. The Medical Researcher leverages these systems to identify patterns in disease progression, treatment efficacy, and drug interactions. However, access to this data is heavily monitored to prevent breaches of confidentiality.</w:t>
      </w:r>
    </w:p>
    <w:bookmarkEnd w:id="26"/>
    <w:bookmarkEnd w:id="27"/>
    <w:bookmarkStart w:id="28" w:name="technological-integration-and-innovation"/>
    <w:p>
      <w:pPr>
        <w:pStyle w:val="Heading2"/>
      </w:pPr>
      <w:r>
        <w:t xml:space="preserve">5. Technological Integration and Innovation</w:t>
      </w:r>
    </w:p>
    <w:p>
      <w:pPr>
        <w:pStyle w:val="FirstParagraph"/>
      </w:pPr>
      <w:r>
        <w:t xml:space="preserve">The healthcare landscape in the</w:t>
      </w:r>
      <w:r>
        <w:t xml:space="preserve"> </w:t>
      </w:r>
      <w:r>
        <w:rPr>
          <w:iCs/>
          <w:i/>
        </w:rPr>
        <w:t xml:space="preserve">United Arab Emirates Dubai</w:t>
      </w:r>
      <w:r>
        <w:t xml:space="preserve"> </w:t>
      </w:r>
      <w:r>
        <w:t xml:space="preserve">is increasingly digital. A modern Medical Researcher must be proficient in utilizing telemedicine platforms, wearable technology data, and AI-driven diagnostic tools.</w:t>
      </w:r>
    </w:p>
    <w:p>
      <w:pPr>
        <w:pStyle w:val="BodyText"/>
      </w:pPr>
      <w:r>
        <w:rPr>
          <w:bCs/>
          <w:b/>
        </w:rPr>
        <w:t xml:space="preserve">Case Study Integration:</w:t>
      </w:r>
      <w:r>
        <w:br/>
      </w:r>
      <w:r>
        <w:t xml:space="preserve">Recent initiatives by the Dubai Health Authority have integrated AI into radiology research. In this context, the Medical Researcher does not only interpret images but also validates AI algorithms for accuracy. This hybrid role represents a new frontier in medical research, where computational biology meets traditional clinical medicine. The lab report highlights that researchers must undergo continuous training to keep pace with these rapid technological advancements.</w:t>
      </w:r>
    </w:p>
    <w:bookmarkEnd w:id="28"/>
    <w:bookmarkStart w:id="29" w:name="challenges-and-mitigation-strategies"/>
    <w:p>
      <w:pPr>
        <w:pStyle w:val="Heading2"/>
      </w:pPr>
      <w:r>
        <w:t xml:space="preserve">6. Challenges and Mitigation Strategies</w:t>
      </w:r>
    </w:p>
    <w:p>
      <w:pPr>
        <w:pStyle w:val="FirstParagraph"/>
      </w:pPr>
      <w:r>
        <w:rPr>
          <w:bCs/>
          <w:b/>
        </w:rPr>
        <w:t xml:space="preserve">Data Silos:</w:t>
      </w:r>
      <w:r>
        <w:br/>
      </w:r>
      <w:r>
        <w:t xml:space="preserve">One significant challenge in the UAE is the fragmentation of health data across different private and public providers. A Medical Researcher must develop robust protocols for data aggregation that respect interoperability standards while ensuring security.</w:t>
      </w:r>
    </w:p>
    <w:p>
      <w:pPr>
        <w:pStyle w:val="BodyText"/>
      </w:pPr>
      <w:r>
        <w:rPr>
          <w:bCs/>
          <w:b/>
        </w:rPr>
        <w:t xml:space="preserve">Cultural Barriers:</w:t>
      </w:r>
      <w:r>
        <w:br/>
      </w:r>
      <w:r>
        <w:t xml:space="preserve">Sometimes, cultural hesitancy regarding certain types of medical interventions can affect research participation. The Medical Researcher plays a crucial role as a liaison, educating communities and building trust through transparent communication channels.</w:t>
      </w:r>
    </w:p>
    <w:bookmarkEnd w:id="29"/>
    <w:bookmarkStart w:id="30" w:name="conclusion"/>
    <w:p>
      <w:pPr>
        <w:pStyle w:val="Heading2"/>
      </w:pPr>
      <w:r>
        <w:t xml:space="preserve">7. Conclusion</w:t>
      </w:r>
    </w:p>
    <w:p>
      <w:pPr>
        <w:pStyle w:val="FirstParagraph"/>
      </w:pPr>
      <w:r>
        <w:t xml:space="preserve">The synthesis of this report confirms that the role of the Medical Researcher in the United Arab Emirates Dubai is multifaceted and critical to the advancement of public health. It is not enough to possess scientific acumen; one must also navigate complex regulatory frameworks, respect cultural nuances, and leverage cutting-edge technology.</w:t>
      </w:r>
    </w:p>
    <w:p>
      <w:pPr>
        <w:pStyle w:val="BodyText"/>
      </w:pPr>
      <w:r>
        <w:t xml:space="preserve">The integration of rigorous laboratory standards with innovative clinical approaches positions Dubai as a global hub for medical research. The findings presented herein underscore the necessity for continuous professional development among researchers operating in this region. By adhering to the high standards set by DHA and MOHAP, Medical Researchers ensure that their contributions are both scientifically valid and socially beneficial.</w:t>
      </w:r>
    </w:p>
    <w:p>
      <w:pPr>
        <w:pStyle w:val="BodyText"/>
      </w:pPr>
      <w:r>
        <w:t xml:space="preserve">Future recommendations include expanding cross-border collaborations with international research institutions, thereby bringing global best practices into the local context while sharing UAE-specific findings with the world. The synergy between policy, technology, and human-centric care defines the successful Medical Researcher in this vibrant emirate.</w:t>
      </w:r>
    </w:p>
    <w:bookmarkEnd w:id="30"/>
    <w:bookmarkStart w:id="31" w:name="references-and-appendices"/>
    <w:p>
      <w:pPr>
        <w:pStyle w:val="Heading2"/>
      </w:pPr>
      <w:r>
        <w:t xml:space="preserve">8. References and Appendices</w:t>
      </w:r>
    </w:p>
    <w:p>
      <w:pPr>
        <w:numPr>
          <w:ilvl w:val="0"/>
          <w:numId w:val="1002"/>
        </w:numPr>
        <w:pStyle w:val="Compact"/>
      </w:pPr>
      <w:r>
        <w:t xml:space="preserve">Dubai Health Authority (DHA) Research Guidelines 2023.</w:t>
      </w:r>
    </w:p>
    <w:p>
      <w:pPr>
        <w:numPr>
          <w:ilvl w:val="0"/>
          <w:numId w:val="1002"/>
        </w:numPr>
        <w:pStyle w:val="Compact"/>
      </w:pPr>
      <w:r>
        <w:t xml:space="preserve">Mohammed Bin Rashid University of Medicine and Health Sciences (MBRU) Ethical Frameworks.</w:t>
      </w:r>
    </w:p>
    <w:p>
      <w:pPr>
        <w:numPr>
          <w:ilvl w:val="0"/>
          <w:numId w:val="1002"/>
        </w:numPr>
        <w:pStyle w:val="Compact"/>
      </w:pPr>
      <w:r>
        <w:t xml:space="preserve">Federal Decree-Law No. 45 of 2021 on the Protection of Personal Data in the United Arab Emirates.</w:t>
      </w:r>
    </w:p>
    <w:p>
      <w:pPr>
        <w:pStyle w:val="FirstParagraph"/>
      </w:pPr>
      <w:r>
        <w:rPr>
          <w:bCs/>
          <w:b/>
        </w:rPr>
        <w:t xml:space="preserve">Prepared By:</w:t>
      </w:r>
    </w:p>
    <w:p>
      <w:pPr>
        <w:pStyle w:val="BodyText"/>
      </w:pPr>
      <w:r>
        <w:rPr>
          <w:iCs/>
          <w:i/>
        </w:rPr>
        <w:t xml:space="preserve">Ahmed Al-Maktoum</w:t>
      </w:r>
      <w:r>
        <w:t xml:space="preserve">, PhD</w:t>
      </w:r>
      <w:r>
        <w:br/>
      </w:r>
      <w:r>
        <w:t xml:space="preserve">Senior Medical Researcher</w:t>
      </w:r>
      <w:r>
        <w:br/>
      </w:r>
      <w:r>
        <w:t xml:space="preserve">Dubai Research &amp; Innovation Center</w:t>
      </w:r>
    </w:p>
    <w:p>
      <w:pPr>
        <w:pStyle w:val="BodyText"/>
      </w:pPr>
      <w:r>
        <w:br/>
      </w:r>
      <w:r>
        <w:br/>
      </w:r>
    </w:p>
    <w:p>
      <w:pPr>
        <w:pStyle w:val="BodyText"/>
      </w:pPr>
      <w:r>
        <w:t xml:space="preserve">Signature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the United Arab Emirates Dubai</dc:title>
  <dc:creator/>
  <dc:language>en</dc:language>
  <cp:keywords/>
  <dcterms:created xsi:type="dcterms:W3CDTF">2026-07-29T19:39:33Z</dcterms:created>
  <dcterms:modified xsi:type="dcterms:W3CDTF">2026-07-29T19:39:33Z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