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Medical</w:t>
      </w:r>
      <w:r>
        <w:t xml:space="preserve"> </w:t>
      </w:r>
      <w:r>
        <w:t xml:space="preserve">Researcher</w:t>
      </w:r>
      <w:r>
        <w:t xml:space="preserve"> </w:t>
      </w:r>
      <w:r>
        <w:t xml:space="preserve">Analysis</w:t>
      </w:r>
      <w:r>
        <w:t xml:space="preserve"> </w:t>
      </w:r>
      <w:r>
        <w:t xml:space="preserve">in</w:t>
      </w:r>
      <w:r>
        <w:t xml:space="preserve"> </w:t>
      </w:r>
      <w:r>
        <w:t xml:space="preserve">United</w:t>
      </w:r>
      <w:r>
        <w:t xml:space="preserve"> </w:t>
      </w:r>
      <w:r>
        <w:t xml:space="preserve">Kingdom</w:t>
      </w:r>
      <w:r>
        <w:t xml:space="preserve"> </w:t>
      </w:r>
      <w:r>
        <w:t xml:space="preserve">Birmingham</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Department of Clinical Sciences, University Hospitals Birmingham NHS Foundation Trust</w:t>
      </w:r>
    </w:p>
    <w:p>
      <w:pPr>
        <w:pStyle w:val="BodyText"/>
      </w:pPr>
      <w:r>
        <w:rPr>
          <w:bCs/>
          <w:b/>
        </w:rPr>
        <w:t xml:space="preserve">From:</w:t>
      </w:r>
      <w:r>
        <w:t xml:space="preserve"> </w:t>
      </w:r>
      <w:r>
        <w:t xml:space="preserve">Senior Medical Researcher Unit, United Kingdom Birmingham</w:t>
      </w:r>
    </w:p>
    <w:p>
      <w:pPr>
        <w:pStyle w:val="BodyText"/>
      </w:pPr>
      <w:r>
        <w:t xml:space="preserve">Efficacy of Novel Immunomodulatory Therapies in Autoimmune Dermatitis: A Comprehensive Lab Report</w:t>
      </w:r>
    </w:p>
    <w:bookmarkStart w:id="29" w:name="X3217d8f59a0bad8a16b13ba061c2a8e596110c5"/>
    <w:p>
      <w:pPr>
        <w:pStyle w:val="Heading1"/>
      </w:pPr>
      <w:r>
        <w:t xml:space="preserve">Laboratory Analysis and Clinical Evaluation Report</w:t>
      </w:r>
    </w:p>
    <w:bookmarkStart w:id="20" w:name="introduction-and-background"/>
    <w:p>
      <w:pPr>
        <w:pStyle w:val="Heading2"/>
      </w:pPr>
      <w:r>
        <w:t xml:space="preserve">1. Introduction and Background</w:t>
      </w:r>
    </w:p>
    <w:p>
      <w:pPr>
        <w:pStyle w:val="FirstParagraph"/>
      </w:pPr>
      <w:r>
        <w:t xml:space="preserve">The primary objective of this document is to present a rigorous analysis conducted by the designated Medical Researcher within the academic and clinical infrastructure of United Kingdom Birmingham. As a global hub for medical innovation, the region surrounding United Kingdom Birmingham serves as a critical nexus for translational medicine. This Lab Report details our recent findings regarding the efficacy of novel immunomodulatory agents in treating severe autoimmune dermatitis conditions. The unique demographic diversity found in United Kingdom Birmingham provides an unparalleled opportunity to study genetic variations in treatment response, thereby enriching the data collected by every Medical Researcher involved in this project.</w:t>
      </w:r>
    </w:p>
    <w:p>
      <w:pPr>
        <w:pStyle w:val="BodyText"/>
      </w:pPr>
      <w:r>
        <w:t xml:space="preserve">Autoimmune skin disorders remain a significant burden on the National Health Service (NHS). While traditional therapies such as corticosteroids and systemic immunosuppressants have been the standard of care, they often come with severe long-term side effects. Consequently, there is an urgent need for targeted biological therapies that can modulate specific immune pathways without compromising overall immune function. This Lab Report outlines the methodology, results, and implications of our latest trial conducted at our primary research facility in United Kingdom Birmingham.</w:t>
      </w:r>
    </w:p>
    <w:bookmarkEnd w:id="20"/>
    <w:bookmarkStart w:id="23" w:name="methodology"/>
    <w:p>
      <w:pPr>
        <w:pStyle w:val="Heading2"/>
      </w:pPr>
      <w:r>
        <w:t xml:space="preserve">2. Methodology</w:t>
      </w:r>
    </w:p>
    <w:p>
      <w:pPr>
        <w:pStyle w:val="FirstParagraph"/>
      </w:pPr>
      <w:r>
        <w:t xml:space="preserve">The study adhered strictly to Good Clinical Practice (GCP) guidelines as mandated by the Medicines and Healthcare products Regulatory Agency (MHRA). A total of 150 patients were recruited from tertiary care centers within United Kingdom Birmingham. Each patient was screened for specific biomarkers associated with T-cell mediated inflammatory responses.</w:t>
      </w:r>
    </w:p>
    <w:bookmarkStart w:id="21" w:name="study-design"/>
    <w:p>
      <w:pPr>
        <w:pStyle w:val="Heading3"/>
      </w:pPr>
      <w:r>
        <w:t xml:space="preserve">2.1 Study Design</w:t>
      </w:r>
    </w:p>
    <w:p>
      <w:pPr>
        <w:pStyle w:val="FirstParagraph"/>
      </w:pPr>
      <w:r>
        <w:t xml:space="preserve">This was a randomized, double-blind, placebo-controlled Phase II trial. Patients were divided into two groups: Group A received the novel monoclonal antibody (Compound X-7) at a dosage of 10mg/kg intravenously every four weeks, while Group B received a placebo saline injection. The duration of the study was six months, allowing Medical Researcher staff ample time to monitor both immediate adverse events and long-term therapeutic outcomes.</w:t>
      </w:r>
    </w:p>
    <w:bookmarkEnd w:id="21"/>
    <w:bookmarkStart w:id="22" w:name="sample-collection-and-analysis"/>
    <w:p>
      <w:pPr>
        <w:pStyle w:val="Heading3"/>
      </w:pPr>
      <w:r>
        <w:t xml:space="preserve">2.2 Sample Collection and Analysis</w:t>
      </w:r>
    </w:p>
    <w:p>
      <w:pPr>
        <w:pStyle w:val="FirstParagraph"/>
      </w:pPr>
      <w:r>
        <w:t xml:space="preserve">Blood samples were collected bi-weekly for serum cytokine profiling. Skin biopsy specimens were obtained at baseline, week 12, and week 24 to evaluate histopathological changes. All samples were processed in the central laboratory accredited by United Kingdom Birmingham Quality Standards, ensuring that every Medical Researcher could rely on high-fidelity data for their analysis.</w:t>
      </w:r>
    </w:p>
    <w:bookmarkEnd w:id="22"/>
    <w:bookmarkEnd w:id="23"/>
    <w:bookmarkStart w:id="24" w:name="results"/>
    <w:p>
      <w:pPr>
        <w:pStyle w:val="Heading2"/>
      </w:pPr>
      <w:r>
        <w:t xml:space="preserve">3. Results</w:t>
      </w:r>
    </w:p>
    <w:p>
      <w:pPr>
        <w:pStyle w:val="FirstParagraph"/>
      </w:pPr>
      <w:r>
        <w:t xml:space="preserve">The data collected from this trial indicates a statistically significant improvement in the treatment group compared to the placebo group. The primary endpoint, measured by the Improvement in Patient Reported Outcomes using the Quality of Life Index (IPOQOL), showed a 45% reduction in symptom severity for Group A.</w:t>
      </w:r>
    </w:p>
    <w:p>
      <w:pPr>
        <w:pStyle w:val="BodyText"/>
      </w:pPr>
      <w:r>
        <w:t xml:space="preserve">Metric</w:t>
      </w:r>
    </w:p>
    <w:p>
      <w:pPr>
        <w:pStyle w:val="BodyText"/>
      </w:pPr>
      <w:r>
        <w:t xml:space="preserve">Group A (Compound X-7)</w:t>
      </w:r>
    </w:p>
    <w:p>
      <w:pPr>
        <w:pStyle w:val="BodyText"/>
      </w:pPr>
      <w:r>
        <w:t xml:space="preserve">Group B (Placebo)</w:t>
      </w:r>
    </w:p>
    <w:p>
      <w:pPr>
        <w:pStyle w:val="BodyText"/>
      </w:pPr>
      <w:r>
        <w:t xml:space="preserve">P-Value</w:t>
      </w:r>
    </w:p>
    <w:p>
      <w:pPr>
        <w:pStyle w:val="BodyText"/>
      </w:pPr>
      <w:r>
        <w:t xml:space="preserve">s</w:t>
      </w:r>
      <w:r>
        <w:t xml:space="preserve"> </w:t>
      </w:r>
      <w:r>
        <w:t xml:space="preserve">&gt;</w:t>
      </w:r>
      <w:r>
        <w:t xml:space="preserve"> </w:t>
      </w:r>
      <w:r>
        <w:t xml:space="preserve">tBody&gt;</w:t>
      </w:r>
    </w:p>
    <w:p>
      <w:pPr>
        <w:pStyle w:val="BodyText"/>
      </w:pPr>
      <w:r>
        <w:t xml:space="preserve">Average Erythemaindex Score Reduction</w:t>
      </w:r>
    </w:p>
    <w:p>
      <w:pPr>
        <w:pStyle w:val="BodyText"/>
      </w:pPr>
      <w:r>
        <w:t xml:space="preserve">-4.2 ± 0.5</w:t>
      </w:r>
    </w:p>
    <w:p>
      <w:pPr>
        <w:pStyle w:val="BodyText"/>
      </w:pPr>
      <w:r>
        <w:t xml:space="preserve">-0.3 ± 01</w:t>
      </w:r>
    </w:p>
    <w:p>
      <w:pPr>
        <w:pStyle w:val="BodyText"/>
      </w:pPr>
      <w:r>
        <w:t xml:space="preserve">&lt; 0.01</w:t>
      </w:r>
    </w:p>
    <w:p>
      <w:pPr>
        <w:pStyle w:val="BodyText"/>
      </w:pPr>
      <w:r>
        <w:t xml:space="preserve">s</w:t>
      </w:r>
    </w:p>
    <w:p>
      <w:pPr>
        <w:pStyle w:val="BodyText"/>
      </w:pPr>
      <w:r>
        <w:t xml:space="preserve">Serum IL-6 Levels (pg/mL) Reduction</w:t>
      </w:r>
    </w:p>
    <w:p>
      <w:pPr>
        <w:pStyle w:val="BodyText"/>
      </w:pPr>
      <w:r>
        <w:t xml:space="preserve">-68%</w:t>
      </w:r>
    </w:p>
    <w:p>
      <w:pPr>
        <w:pStyle w:val="BodyText"/>
      </w:pPr>
      <w:r>
        <w:t xml:space="preserve">Adverse Events Grade 3+</w:t>
      </w:r>
    </w:p>
    <w:p>
      <w:pPr>
        <w:pStyle w:val="BodyText"/>
      </w:pPr>
      <w:r>
        <w:t xml:space="preserve">4%</w:t>
      </w:r>
    </w:p>
    <w:p>
      <w:pPr>
        <w:pStyle w:val="BodyText"/>
      </w:pPr>
      <w:r>
        <w:t xml:space="preserve">&gt;12%</w:t>
      </w:r>
    </w:p>
    <w:p>
      <w:pPr>
        <w:pStyle w:val="BodyText"/>
      </w:pPr>
      <w:r>
        <w:t xml:space="preserve">Patient Compliance Rate</w:t>
      </w:r>
    </w:p>
    <w:p>
      <w:pPr>
        <w:pStyle w:val="BodyText"/>
      </w:pPr>
      <w:r>
        <w:t xml:space="preserve">92%</w:t>
      </w:r>
    </w:p>
    <w:p>
      <w:pPr>
        <w:pStyle w:val="BodyText"/>
      </w:pPr>
      <w:r>
        <w:t xml:space="preserve">85%</w:t>
      </w:r>
    </w:p>
    <w:p>
      <w:pPr>
        <w:pStyle w:val="BodyText"/>
      </w:pPr>
      <w:r>
        <w:t xml:space="preserve">The reduction in serum Interleukin-6 (IL-6) levels was particularly notable. IL-6 is a pro-inflammatory cytokine heavily implicated in the pathogenesis of autoimmune dermatitis. The consistent decline observed across all participants suggests that Compound X-7 effectively targets this inflammatory pathway. Furthermore, the histopathological analysis revealed a significant decrease in epidermal hyperplasia and lymphocytic infiltration in skin biopsies from Group A patients.</w:t>
      </w:r>
    </w:p>
    <w:bookmarkEnd w:id="24"/>
    <w:bookmarkStart w:id="25" w:name="discussion"/>
    <w:p>
      <w:pPr>
        <w:pStyle w:val="Heading2"/>
      </w:pPr>
      <w:r>
        <w:t xml:space="preserve">4. Discussion</w:t>
      </w:r>
    </w:p>
    <w:p>
      <w:pPr>
        <w:pStyle w:val="FirstParagraph"/>
      </w:pPr>
      <w:r>
        <w:t xml:space="preserve">The findings presented in this Lab Report underscore the potential of Compound X-7 as a viable therapeutic option for severe autoimmune dermatitis. The results are particularly significant given the context of United Kingdom Birmingham, where healthcare providers are constantly seeking innovative solutions to manage chronic inflammatory conditions.</w:t>
      </w:r>
    </w:p>
    <w:p>
      <w:pPr>
        <w:pStyle w:val="BodyText"/>
      </w:pPr>
      <w:r>
        <w:t xml:space="preserve">A key aspect of this study was the involvement of every Medical Researcher in ensuring data integrity. The collaborative environment in United Kingdom Birmingham fostered a multidisciplinary approach, integrating dermatologists, immunologists, and statisticians. This synergy allowed for a more robust interpretation of the data. For instance, while clinical scores improved rapidly, some Medical Researcher expressed initial caution regarding long-term immune suppression. However, the safety profile observed over the six-month period alleviated these concerns.</w:t>
      </w:r>
    </w:p>
    <w:p>
      <w:pPr>
        <w:pStyle w:val="BodyText"/>
      </w:pPr>
      <w:r>
        <w:t xml:space="preserve">Moreover, the demographic representation in United Kingdom Birmingham allowed us to detect subtle variations in drug metabolism among different ethnic groups. This nuance is critical for personalized medicine, a field that is rapidly advancing within the NHS. The Lab Report highlights that while Compound X-7 was effective across all subgroups, dosage adjustments might be necessary for patients with specific genetic polymorphisms related to hepatic enzyme activity.</w:t>
      </w:r>
    </w:p>
    <w:bookmarkEnd w:id="25"/>
    <w:bookmarkStart w:id="26" w:name="limitations"/>
    <w:p>
      <w:pPr>
        <w:pStyle w:val="Heading2"/>
      </w:pPr>
      <w:r>
        <w:t xml:space="preserve">5. Limitations</w:t>
      </w:r>
    </w:p>
    <w:p>
      <w:pPr>
        <w:pStyle w:val="FirstParagraph"/>
      </w:pPr>
      <w:r>
        <w:t xml:space="preserve">No study is without its limitations, and this Lab Report acknowledges several constraints. First, the sample size of 150 patients, while adequate for a Phase II trial, limits the generalizability of the findings to larger populations. Second, the six-month duration may not capture rare late-onset adverse events that could emerge with prolonged use.</w:t>
      </w:r>
    </w:p>
    <w:p>
      <w:pPr>
        <w:pStyle w:val="BodyText"/>
      </w:pPr>
      <w:r>
        <w:t xml:space="preserve">Additionally, as this Lab Report is specific to United Kingdom Birmingham and its associated clinical centers, factors such as regional genetic diversity or environmental exposures unique to this area might influence results when applied globally. Therefore, future trials should aim for broader geographical recruitment while maintaining the rigorous standards set by Medical Researcher protocols in this region.</w:t>
      </w:r>
    </w:p>
    <w:bookmarkEnd w:id="26"/>
    <w:bookmarkStart w:id="28" w:name="conclusion-and-future-directions"/>
    <w:p>
      <w:pPr>
        <w:pStyle w:val="Heading2"/>
      </w:pPr>
      <w:r>
        <w:t xml:space="preserve">6. Conclusion and Future Directions</w:t>
      </w:r>
    </w:p>
    <w:p>
      <w:pPr>
        <w:pStyle w:val="FirstParagraph"/>
      </w:pPr>
      <w:r>
        <w:t xml:space="preserve">In conclusion, this Lab Report demonstrates that Compound X-7 is a promising therapeutic agent for the treatment of severe autoimmune dermatitis. The significant reduction in inflammatory markers and clinical symptoms, coupled with a favorable safety profile, supports further investigation. The work done by every Medical Researcher involved in this project has contributed valuable data to the scientific community.</w:t>
      </w:r>
    </w:p>
    <w:bookmarkStart w:id="27" w:name="recommendations"/>
    <w:p>
      <w:pPr>
        <w:pStyle w:val="Heading3"/>
      </w:pPr>
      <w:r>
        <w:t xml:space="preserve">Recommendations:</w:t>
      </w:r>
    </w:p>
    <w:p>
      <w:pPr>
        <w:numPr>
          <w:ilvl w:val="0"/>
          <w:numId w:val="1001"/>
        </w:numPr>
        <w:pStyle w:val="Compact"/>
      </w:pPr>
      <w:r>
        <w:rPr>
          <w:bCs/>
          <w:b/>
        </w:rPr>
        <w:t xml:space="preserve">Prioritize Phase III Trials:</w:t>
      </w:r>
      <w:r>
        <w:t xml:space="preserve"> </w:t>
      </w:r>
      <w:r>
        <w:t xml:space="preserve">Given the promising results, immediate planning for large-scale, multi-center trials is recommended.</w:t>
      </w:r>
    </w:p>
    <w:p>
      <w:pPr>
        <w:numPr>
          <w:ilvl w:val="0"/>
          <w:numId w:val="1001"/>
        </w:numPr>
        <w:pStyle w:val="Compact"/>
      </w:pPr>
      <w:r>
        <w:rPr>
          <w:bCs/>
          <w:b/>
        </w:rPr>
        <w:t xml:space="preserve">Maintain United Kingdom Birmingham as a Key Site:</w:t>
      </w:r>
      <w:r>
        <w:t xml:space="preserve"> </w:t>
      </w:r>
      <w:r>
        <w:t xml:space="preserve">Due to the rich demographic data available in United Kingdom Birmingham, it should remain a primary recruitment hub for future studies to ensure diverse representation.</w:t>
      </w:r>
    </w:p>
    <w:p>
      <w:pPr>
        <w:numPr>
          <w:ilvl w:val="0"/>
          <w:numId w:val="1001"/>
        </w:numPr>
        <w:pStyle w:val="Compact"/>
      </w:pPr>
      <w:r>
        <w:rPr>
          <w:bCs/>
          <w:b/>
        </w:rPr>
        <w:t xml:space="preserve">Enhance Medical Researcher Training:</w:t>
      </w:r>
      <w:r>
        <w:t xml:space="preserve"> </w:t>
      </w:r>
      <w:r>
        <w:t xml:space="preserve">Continue investing in the training of Medical Researcher staff to leverage new biostatistical tools and genomic sequencing technologies.</w:t>
      </w:r>
    </w:p>
    <w:bookmarkEnd w:id="27"/>
    <w:p>
      <w:pPr>
        <w:pStyle w:val="FirstParagraph"/>
      </w:pPr>
      <w:r>
        <w:t xml:space="preserve">The collaboration between academic institutions and NHS trusts in United Kingdom Birmingham continues to set a benchmark for medical excellence. This Lab Report serves not only as a record of current findings but also as a testament to the relentless pursuit of knowledge by Medical Researcher professionals dedicated to improving patient outcomes. As we move forward, the insights gained from this study will undoubtedly shape clinical guidelines and enhance the standard of care for patients suffering from autoimmune conditions.</w:t>
      </w:r>
    </w:p>
    <w:p>
      <w:pPr>
        <w:pStyle w:val="BodyText"/>
      </w:pPr>
      <w:r>
        <w:rPr>
          <w:iCs/>
          <w:i/>
        </w:rPr>
        <w:t xml:space="preserve">Prepared by: Dr. A. Smith, Lead Medical Researcher</w:t>
      </w:r>
      <w:r>
        <w:br/>
      </w:r>
      <w:r>
        <w:rPr>
          <w:iCs/>
          <w:i/>
        </w:rPr>
        <w:t xml:space="preserve">Institution: Clinical Research Division, United Kingdom Birmingham</w:t>
      </w:r>
      <w:r>
        <w:br/>
      </w:r>
      <w:r>
        <w:rPr>
          <w:iCs/>
          <w:i/>
        </w:rPr>
        <w:t xml:space="preserve">Date: October 26, 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Medical Researcher Analysis in United Kingdom Birmingham</dc:title>
  <dc:creator/>
  <dc:language>en</dc:language>
  <cp:keywords/>
  <dcterms:created xsi:type="dcterms:W3CDTF">2026-07-29T16:27:30Z</dcterms:created>
  <dcterms:modified xsi:type="dcterms:W3CDTF">2026-07-29T16:27:30Z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