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Protocol</w:t>
      </w:r>
    </w:p>
    <w:bookmarkStart w:id="26" w:name="laboratory-report"/>
    <w:p>
      <w:pPr>
        <w:pStyle w:val="Heading1"/>
      </w:pPr>
      <w:r>
        <w:t xml:space="preserve">Laboratory Report</w:t>
      </w:r>
    </w:p>
    <w:p>
      <w:pPr>
        <w:pStyle w:val="FirstParagraph"/>
      </w:pPr>
      <w:r>
        <w:rPr>
          <w:bCs/>
          <w:b/>
        </w:rPr>
        <w:t xml:space="preserve">Date of Report:</w:t>
      </w:r>
      <w:r>
        <w:t xml:space="preserve"> </w:t>
      </w:r>
      <w:r>
        <w:t xml:space="preserve">October 24, 2023</w:t>
      </w:r>
    </w:p>
    <w:p>
      <w:pPr>
        <w:pStyle w:val="BodyText"/>
      </w:pPr>
      <w:r>
        <w:rPr>
          <w:bCs/>
          <w:b/>
        </w:rPr>
        <w:t xml:space="preserve">Institution:</w:t>
      </w:r>
      <w:r>
        <w:t xml:space="preserve"> </w:t>
      </w:r>
      <w:r>
        <w:t xml:space="preserve">Royal London Institute for Advanced Medical Sciences, United Kingdom London</w:t>
      </w:r>
    </w:p>
    <w:p>
      <w:pPr>
        <w:pStyle w:val="BodyText"/>
      </w:pPr>
      <w:r>
        <w:rPr>
          <w:bCs/>
          <w:b/>
        </w:rPr>
        <w:t xml:space="preserve">Principal Investigator (Medical Researcher):</w:t>
      </w:r>
      <w:r>
        <w:t xml:space="preserve"> </w:t>
      </w:r>
      <w:r>
        <w:t xml:space="preserve">Dr. Eleanor Vance, PhD</w:t>
      </w:r>
    </w:p>
    <w:p>
      <w:pPr>
        <w:pStyle w:val="BodyText"/>
      </w:pPr>
      <w:r>
        <w:rPr>
          <w:bCs/>
          <w:b/>
        </w:rPr>
        <w:t xml:space="preserve">Patient/Subject ID:</w:t>
      </w:r>
      <w:r>
        <w:t xml:space="preserve"> </w:t>
      </w:r>
      <w:r>
        <w:t xml:space="preserve">UK-LON-9942-Beta</w:t>
      </w:r>
    </w:p>
    <w:p>
      <w:pPr>
        <w:pStyle w:val="BodyText"/>
      </w:pPr>
      <w:r>
        <w:t xml:space="preserve">I. Executive Summary and Objectives</w:t>
      </w:r>
    </w:p>
    <w:p>
      <w:pPr>
        <w:pStyle w:val="BodyText"/>
      </w:pPr>
      <w:r>
        <w:t xml:space="preserve">The primary objective of this comprehensive laboratory report is to document the preliminary findings regarding the efficacy of novel immunomodulatory compounds in clinical trials conducted within the bustling medical hub of United Kingdom London. As a designated Medical Researcher operating under the stringent guidelines established by both local ethical committees and national health standards, it is imperative that all data presented herein reflects rigorous scientific methodology. The scope of this study extends beyond mere observation; it seeks to establish a reproducible framework for testing pharmaceutical interventions in diverse demographic cohorts typical of the United Kingdom London metropolitan area. This report serves as a critical document for peer review, regulatory compliance, and future collaborative efforts among medical institutions across the region.</w:t>
      </w:r>
    </w:p>
    <w:bookmarkStart w:id="20" w:name="ii.-introduction-and-background"/>
    <w:p>
      <w:pPr>
        <w:pStyle w:val="Heading2"/>
      </w:pPr>
      <w:r>
        <w:t xml:space="preserve">II. Introduction and Background</w:t>
      </w:r>
    </w:p>
    <w:p>
      <w:pPr>
        <w:pStyle w:val="FirstParagraph"/>
      </w:pPr>
      <w:r>
        <w:t xml:space="preserve">The landscape of modern medicine in United Kingdom London is characterized by rapid innovation and high patient volume, necessitating efficient yet thorough diagnostic protocols. Medical Researcher Dr. Eleanor Vance has spearheaded this initiative to address gaps in current therapeutic approaches for autoimmune disorders prevalent in urban populations. The background literature suggests that standard treatments often yield variable results due to genetic heterogeneity among patients residing in United Kingdom London’s diverse communities. Therefore, this laboratory report aims to evaluate a new class of monoclonal antibodies designed to target specific inflammatory markers. The hypothesis posits that these compounds will demonstrate superior safety profiles and efficacy compared to existing therapies, thereby offering a viable alternative for long-term management of chronic conditions within the healthcare system of United Kingdom London.</w:t>
      </w:r>
    </w:p>
    <w:bookmarkEnd w:id="20"/>
    <w:bookmarkStart w:id="21" w:name="iii.-methodology"/>
    <w:p>
      <w:pPr>
        <w:pStyle w:val="Heading2"/>
      </w:pPr>
      <w:r>
        <w:t xml:space="preserve">III. Methodology</w:t>
      </w:r>
    </w:p>
    <w:p>
      <w:pPr>
        <w:pStyle w:val="FirstParagraph"/>
      </w:pPr>
      <w:r>
        <w:t xml:space="preserve">To ensure the integrity of the findings detailed in this laboratory report, strict adherence to Good Clinical Practice (GCP) guidelines was maintained. The study design employed a double-blind, randomized controlled trial format, which is considered the gold standard in medical research. Participants were recruited from three major teaching hospitals within United Kingdom London. Inclusion criteria required subjects to be between the ages of 18 and 65, with a confirmed diagnosis of moderate-to-severe autoimmune disease over the past six months. Exclusion criteria included pregnancy, concurrent use of other immunosuppressants, or known allergies to the study drug components.</w:t>
      </w:r>
      <w:r>
        <w:t xml:space="preserve"> </w:t>
      </w:r>
      <w:r>
        <w:t xml:space="preserve">As a Medical Researcher, Dr. Vance oversaw the randomization process using computer-generated sequences to assign participants into either the treatment group or the placebo group. The blinding protocol ensured that neither the patients nor the attending physicians knew which intervention was being administered until data analysis was complete. Biological samples, including blood serum and urine, were collected at baseline, week four, week twelve, and week twenty-four. These samples were transported under cold chain conditions to a central laboratory located in United Kingdom London for standardized processing and analysis. All procedures were approved by the Independent Ethics Committee of United Kingdom London prior to initiation.</w:t>
      </w:r>
    </w:p>
    <w:bookmarkEnd w:id="21"/>
    <w:bookmarkStart w:id="22" w:name="iv.-results"/>
    <w:p>
      <w:pPr>
        <w:pStyle w:val="Heading2"/>
      </w:pPr>
      <w:r>
        <w:t xml:space="preserve">IV. Results</w:t>
      </w:r>
    </w:p>
    <w:p>
      <w:pPr>
        <w:pStyle w:val="FirstParagraph"/>
      </w:pPr>
      <w:r>
        <w:t xml:space="preserve">The data collected over the twenty-four-week period yielded statistically significant outcomes that warrant careful examination within this laboratory report. A total of 150 participants completed the full study duration, representing a robust sample size for analysis derived from United Kingdom London’s patient population. In the treatment group, 78% of participants showed a reduction in inflammatory markers by at least 40%, compared to only 32% in the placebo group. Furthermore, clinical assessment scores indicated a marked improvement in quality of life metrics among those receiving the novel compound.</w:t>
      </w:r>
      <w:r>
        <w:t xml:space="preserve"> </w:t>
      </w:r>
      <w:r>
        <w:t xml:space="preserve">Adverse events were monitored closely throughout the trial. Mild side effects, such as fatigue and headache, were reported by 15% of participants in both groups, suggesting that these symptoms may be related to the underlying condition rather than the intervention itself. Severe adverse events occurred in less than 1% of cases and were resolved without long-term sequelae. These results strongly support the safety profile of the investigational drug, a key finding that this laboratory report highlights for potential regulatory submission authorities in United Kingdom London.</w:t>
      </w:r>
    </w:p>
    <w:bookmarkEnd w:id="22"/>
    <w:bookmarkStart w:id="23" w:name="v.-discussion"/>
    <w:p>
      <w:pPr>
        <w:pStyle w:val="Heading2"/>
      </w:pPr>
      <w:r>
        <w:t xml:space="preserve">V. Discussion</w:t>
      </w:r>
    </w:p>
    <w:p>
      <w:pPr>
        <w:pStyle w:val="FirstParagraph"/>
      </w:pPr>
      <w:r>
        <w:t xml:space="preserve">The findings presented in this laboratory report underscore the potential of the novel immunomodulatory compound to revolutionize treatment strategies for autoimmune disorders. When viewed through the lens of medical research conducted by a dedicated Medical Researcher, these results suggest that targeted therapy can yield significant benefits without compromising patient safety. The context of United Kingdom London, with its dense and diverse population, provides a unique setting for such trials, ensuring that results are applicable to a wide range of genetic backgrounds.</w:t>
      </w:r>
      <w:r>
        <w:t xml:space="preserve"> </w:t>
      </w:r>
      <w:r>
        <w:t xml:space="preserve">However, it is important to acknowledge limitations inherent in any single-center or multi-site study conducted within United Kingdom London. While the recruitment pool was extensive, further studies may be required to assess long-term efficacy and rare side effects over extended periods. Additionally, cost-effectiveness analyses specific to the healthcare infrastructure of United Kingdom London will need to be performed before widespread adoption can be recommended. The role of the Medical Researcher extends beyond data collection; it involves interpreting these results within the broader socio-economic context of United Kingdom London’s healthcare system.</w:t>
      </w:r>
    </w:p>
    <w:bookmarkEnd w:id="23"/>
    <w:bookmarkStart w:id="24" w:name="vi.-conclusion"/>
    <w:p>
      <w:pPr>
        <w:pStyle w:val="Heading2"/>
      </w:pPr>
      <w:r>
        <w:t xml:space="preserve">VI. Conclusion</w:t>
      </w:r>
    </w:p>
    <w:p>
      <w:pPr>
        <w:pStyle w:val="FirstParagraph"/>
      </w:pPr>
      <w:r>
        <w:t xml:space="preserve">In conclusion, this laboratory report confirms that the novel immunomodulatory compound shows promising efficacy and safety in patients with autoimmune disorders treated within the United Kingdom London region. The rigorous methodology employed by Medical Researcher Dr. Eleanor Vance ensures that these findings are reliable and reproducible. As we move forward, it is essential to continue refining our protocols and expanding our research efforts to fully realize the potential of this treatment modality for all residents of United Kingdom London. This document stands as a testament to the high standards of scientific inquiry upheld by medical professionals in United Kingdom London, paving the way for future advancements in clinical practice and public health policy.</w:t>
      </w:r>
    </w:p>
    <w:bookmarkEnd w:id="24"/>
    <w:bookmarkStart w:id="25" w:name="Xaa9785b686929828e8b6c75d6ce4bd24e3f6170"/>
    <w:p>
      <w:pPr>
        <w:pStyle w:val="Heading2"/>
      </w:pPr>
      <w:r>
        <w:t xml:space="preserve">VII. References and Compliance Statements</w:t>
      </w:r>
    </w:p>
    <w:p>
      <w:pPr>
        <w:pStyle w:val="FirstParagraph"/>
      </w:pPr>
      <w:r>
        <w:t xml:space="preserve">All data presented in this laboratory report has been anonymized to protect patient privacy, adhering strictly to GDPR regulations enforced within United Kingdom London. References cited throughout this document include peer-reviewed journals focusing on immunology, clinical trial guidelines from the Medicines and Healthcare products Regulatory Agency (MHRA), and internal institutional protocols established for medical research in United Kingdom London. This report is submitted for review by the Department of Clinical Sciences at our institution located in 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Medical Researcher Protocol</dc:title>
  <dc:creator/>
  <dc:language>en</dc:language>
  <cp:keywords/>
  <dcterms:created xsi:type="dcterms:W3CDTF">2026-07-30T03:16:10Z</dcterms:created>
  <dcterms:modified xsi:type="dcterms:W3CDTF">2026-07-30T03:16:10Z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