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p>
    <w:bookmarkStart w:id="21" w:name="Xb3a637805eceeb4d04472d4e978c91b7cc5a3e2"/>
    <w:p>
      <w:pPr>
        <w:pStyle w:val="Heading1"/>
      </w:pPr>
      <w:r>
        <w:t xml:space="preserve">COMPREHENSIVE LAB REPORT AND OPERATIONAL ANALYSIS</w:t>
      </w:r>
    </w:p>
    <w:bookmarkStart w:id="20" w:name="X3e6fa370556bb81077e214a9ed2b066680057c8"/>
    <w:p>
      <w:pPr>
        <w:pStyle w:val="Heading2"/>
      </w:pPr>
      <w:r>
        <w:t xml:space="preserve">Subject: The Role, Methodology, and Impact of the Medical Researcher in United Kingdom Manchester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Authority &amp; Academic Review Board</w:t>
      </w:r>
      <w:r>
        <w:br/>
      </w:r>
      <w:r>
        <w:rPr>
          <w:bCs/>
          <w:b/>
        </w:rPr>
        <w:t xml:space="preserve">Jurisdiction:</w:t>
      </w:r>
      <w:r>
        <w:t xml:space="preserve"> </w:t>
      </w:r>
      <w:r>
        <w:rPr>
          <w:iCs/>
          <w:i/>
        </w:rPr>
        <w:t xml:space="preserve">United Kingdom Manchester</w:t>
      </w:r>
    </w:p>
    <w:bookmarkEnd w:id="20"/>
    <w:bookmarkEnd w:id="21"/>
    <w:p>
      <w:pPr>
        <w:pStyle w:val="BodyText"/>
      </w:pPr>
      <w:r>
        <w:t xml:space="preserve">&gt;</w:t>
      </w:r>
    </w:p>
    <w:bookmarkStart w:id="23" w:name="introduction-and-contextual-framework"/>
    <w:p>
      <w:pPr>
        <w:pStyle w:val="Heading2"/>
      </w:pPr>
      <w:bookmarkStart w:id="22" w:name="introduction"/>
      <w:r>
        <w:t xml:space="preserve">1. Introduction and Contextual Framework</w:t>
      </w:r>
      <w:bookmarkEnd w:id="22"/>
    </w:p>
    <w:p>
      <w:pPr>
        <w:pStyle w:val="FirstParagraph"/>
      </w:pPr>
      <w:r>
        <w:t xml:space="preserve">The landscape of modern biomedical science is increasingly defined by the rigorous application of empirical data, ethical compliance, and translational efficacy. Central to this ecosystem is the</w:t>
      </w:r>
      <w:r>
        <w:t xml:space="preserve"> </w:t>
      </w:r>
      <w:r>
        <w:rPr>
          <w:bCs/>
          <w:b/>
        </w:rPr>
        <w:t xml:space="preserve">Medical Researcher</w:t>
      </w:r>
      <w:r>
        <w:t xml:space="preserve">, a professional entity tasked with bridging the gap between theoretical biological mechanisms and clinical application. This lab report serves as a detailed analysis of operational protocols, statistical significance, and collaborative frameworks required within the specific geographic and regulatory context of</w:t>
      </w:r>
      <w:r>
        <w:t xml:space="preserve"> </w:t>
      </w:r>
      <w:r>
        <w:rPr>
          <w:iCs/>
          <w:i/>
        </w:rPr>
        <w:t xml:space="preserve">United Kingdom Manchester</w:t>
      </w:r>
      <w:r>
        <w:t xml:space="preserve">.</w:t>
      </w:r>
      <w:r>
        <w:t xml:space="preserve"> </w:t>
      </w:r>
      <w:r>
        <w:t xml:space="preserve">Manchester has established itself as a premier hub for health innovation in Europe, anchored by the presence of world-class institutions such as the University of Manchester and Manchester University NHS Foundation Trust. Consequently, any report detailing research activities must adhere to strict standards that reflect both national mandates from the National Health Service (NHS) and local municipal requirements. The primary objective of this document is to delineate the responsibilities, methodologies, and expected outputs of a</w:t>
      </w:r>
      <w:r>
        <w:t xml:space="preserve"> </w:t>
      </w:r>
      <w:r>
        <w:rPr>
          <w:bCs/>
          <w:b/>
        </w:rPr>
        <w:t xml:space="preserve">Medical Researcher</w:t>
      </w:r>
      <w:r>
        <w:t xml:space="preserve"> </w:t>
      </w:r>
      <w:r>
        <w:t xml:space="preserve">operating within this dynamic environment. It is imperative that all procedures described herein comply with the Medicines for Human Use (Clinical Trials) Regulations and guidance issued by the Health Research Authority (HRA), ensuring that patient safety remains paramount while advancing scientific knowledge in</w:t>
      </w:r>
      <w:r>
        <w:t xml:space="preserve"> </w:t>
      </w:r>
      <w:r>
        <w:rPr>
          <w:iCs/>
          <w:i/>
        </w:rPr>
        <w:t xml:space="preserve">United Kingdom Manchester</w:t>
      </w:r>
      <w:r>
        <w:t xml:space="preserve">.</w:t>
      </w:r>
    </w:p>
    <w:bookmarkEnd w:id="23"/>
    <w:p>
      <w:pPr>
        <w:pStyle w:val="BodyText"/>
      </w:pPr>
      <w:r>
        <w:t xml:space="preserve">&gt;</w:t>
      </w:r>
    </w:p>
    <w:bookmarkStart w:id="25" w:name="scope-of-inquiry-and-objectives"/>
    <w:p>
      <w:pPr>
        <w:pStyle w:val="Heading2"/>
      </w:pPr>
      <w:bookmarkStart w:id="24" w:name="scope"/>
      <w:r>
        <w:t xml:space="preserve">2. Scope of Inquiry and Objectives</w:t>
      </w:r>
      <w:bookmarkEnd w:id="24"/>
    </w:p>
    <w:p>
      <w:pPr>
        <w:pStyle w:val="FirstParagraph"/>
      </w:pPr>
      <w:r>
        <w:t xml:space="preserve">The scope of this investigation is multifaceted, addressing three distinct pillars of modern medical inquiry:</w:t>
      </w:r>
    </w:p>
    <w:p>
      <w:pPr>
        <w:pStyle w:val="BodyText"/>
      </w:pPr>
      <w:r>
        <w:rPr>
          <w:bCs/>
          <w:b/>
        </w:rPr>
        <w:t xml:space="preserve">Epidemiological Surveillance:</w:t>
      </w:r>
      <w:r>
        <w:t xml:space="preserve"> </w:t>
      </w:r>
      <w:r>
        <w:t xml:space="preserve">Analyzing population health data specific to the Greater Manchester region.</w:t>
      </w:r>
    </w:p>
    <w:p>
      <w:pPr>
        <w:pStyle w:val="BodyText"/>
      </w:pPr>
      <w:r>
        <w:t xml:space="preserve">&gt;</w:t>
      </w:r>
    </w:p>
    <w:p>
      <w:pPr>
        <w:pStyle w:val="BodyText"/>
      </w:pPr>
      <w:r>
        <w:rPr>
          <w:bCs/>
          <w:b/>
        </w:rPr>
        <w:t xml:space="preserve">Clinical Trial Design:</w:t>
      </w:r>
      <w:r>
        <w:t xml:space="preserve"> </w:t>
      </w:r>
      <w:r>
        <w:t xml:space="preserve">Structuring protocols for Phase II and III trials in local hospital settings.</w:t>
      </w:r>
    </w:p>
    <w:p>
      <w:pPr>
        <w:pStyle w:val="BodyText"/>
      </w:pPr>
      <w:r>
        <w:t xml:space="preserve">&gt;</w:t>
      </w:r>
    </w:p>
    <w:p>
      <w:pPr>
        <w:pStyle w:val="BodyText"/>
      </w:pPr>
      <w:r>
        <w:rPr>
          <w:bCs/>
          <w:b/>
        </w:rPr>
        <w:t xml:space="preserve">Bioethical Compliance:</w:t>
      </w:r>
      <w:r>
        <w:t xml:space="preserve"> </w:t>
      </w:r>
      <w:r>
        <w:t xml:space="preserve">Ensuring adherence to the principles outlined by the British Medical Association (BMA) regarding informed consent and data privacy.</w:t>
      </w:r>
    </w:p>
    <w:p>
      <w:pPr>
        <w:pStyle w:val="BodyText"/>
      </w:pPr>
      <w:r>
        <w:t xml:space="preserve">&gt;</w:t>
      </w:r>
    </w:p>
    <w:p>
      <w:pPr>
        <w:pStyle w:val="BodyText"/>
      </w:pPr>
      <w:r>
        <w:t xml:space="preserve">The overarching objective is to provide a replicable framework for any</w:t>
      </w:r>
      <w:r>
        <w:t xml:space="preserve"> </w:t>
      </w:r>
      <w:r>
        <w:rPr>
          <w:bCs/>
          <w:b/>
        </w:rPr>
        <w:t xml:space="preserve">Medical Researcher</w:t>
      </w:r>
      <w:r>
        <w:t xml:space="preserve"> </w:t>
      </w:r>
      <w:r>
        <w:t xml:space="preserve">seeking to establish operations or conduct studies within</w:t>
      </w:r>
      <w:r>
        <w:t xml:space="preserve"> </w:t>
      </w:r>
      <w:r>
        <w:rPr>
          <w:iCs/>
          <w:i/>
        </w:rPr>
        <w:t xml:space="preserve">United Kingdom Manchester</w:t>
      </w:r>
      <w:r>
        <w:t xml:space="preserve">. By standardizing these protocols, we aim to reduce administrative friction, accelerate the timeline from bench to bedside, and ensure that all research outputs are statistically robust and ethically sound.</w:t>
      </w:r>
    </w:p>
    <w:bookmarkEnd w:id="25"/>
    <w:p>
      <w:pPr>
        <w:pStyle w:val="BodyText"/>
      </w:pPr>
      <w:r>
        <w:t xml:space="preserve">&gt;</w:t>
      </w:r>
    </w:p>
    <w:bookmarkStart w:id="30" w:name="methodological-approach"/>
    <w:p>
      <w:pPr>
        <w:pStyle w:val="Heading2"/>
      </w:pPr>
      <w:bookmarkStart w:id="26" w:name="methodology"/>
      <w:r>
        <w:t xml:space="preserve">3. Methodological Approach</w:t>
      </w:r>
      <w:bookmarkEnd w:id="26"/>
    </w:p>
    <w:p>
      <w:pPr>
        <w:pStyle w:val="FirstParagraph"/>
      </w:pPr>
      <w:r>
        <w:t xml:space="preserve">The methodology adopted for this analysis relies on a mixed-methods approach, combining quantitative data review with qualitative assessments of regulatory compliance.</w:t>
      </w:r>
    </w:p>
    <w:bookmarkStart w:id="27" w:name="data-acquisition-and-sampling"/>
    <w:p>
      <w:pPr>
        <w:pStyle w:val="Heading3"/>
      </w:pPr>
      <w:r>
        <w:t xml:space="preserve">3.1 Data Acquisition and Sampling</w:t>
      </w:r>
    </w:p>
    <w:p>
      <w:pPr>
        <w:pStyle w:val="FirstParagraph"/>
      </w:pPr>
      <w:r>
        <w:t xml:space="preserve">Data collection was primarily sourced from electronic health records (EHR) within the Manchester University NHS Foundation Trust and longitudinal studies conducted by local academic partners. The sample size for this report reflects a stratified random selection of patients diagnosed with cardiovascular conditions, a prevalent health issue in the</w:t>
      </w:r>
      <w:r>
        <w:t xml:space="preserve"> </w:t>
      </w:r>
      <w:r>
        <w:rPr>
          <w:iCs/>
          <w:i/>
        </w:rPr>
        <w:t xml:space="preserve">United Kingdom Manchester</w:t>
      </w:r>
      <w:r>
        <w:t xml:space="preserve"> </w:t>
      </w:r>
      <w:r>
        <w:t xml:space="preserve">area. This demographic was selected due to its relevance to ongoing public health initiatives aimed at reducing mortality rates in urban centers.</w:t>
      </w:r>
    </w:p>
    <w:bookmarkEnd w:id="27"/>
    <w:bookmarkStart w:id="28" w:name="laboratory-protocols-and-standards"/>
    <w:p>
      <w:pPr>
        <w:pStyle w:val="Heading3"/>
      </w:pPr>
      <w:r>
        <w:t xml:space="preserve">3.2 Laboratory Protocols and Standards</w:t>
      </w:r>
    </w:p>
    <w:p>
      <w:pPr>
        <w:pStyle w:val="FirstParagraph"/>
      </w:pPr>
      <w:r>
        <w:t xml:space="preserve">All experimental procedures involving biological samples must adhere to ISO 15189 standards for medical laboratories. The</w:t>
      </w:r>
      <w:r>
        <w:t xml:space="preserve"> </w:t>
      </w:r>
      <w:r>
        <w:rPr>
          <w:bCs/>
          <w:b/>
        </w:rPr>
        <w:t xml:space="preserve">Medical Researcher</w:t>
      </w:r>
      <w:r>
        <w:t xml:space="preserve"> </w:t>
      </w:r>
      <w:r>
        <w:t xml:space="preserve">is required to maintain strict chain-of-custody logs, ensuring that every specimen processed in</w:t>
      </w:r>
      <w:r>
        <w:t xml:space="preserve"> </w:t>
      </w:r>
      <w:r>
        <w:rPr>
          <w:iCs/>
          <w:i/>
        </w:rPr>
        <w:t xml:space="preserve">United Kingdom Manchester</w:t>
      </w:r>
      <w:r>
        <w:t xml:space="preserve"> </w:t>
      </w:r>
      <w:r>
        <w:t xml:space="preserve">can be traced back to its source. This traceability is critical for the validation of results and for meeting the rigorous audit requirements set forth by UKAS (United Kingdom Accreditation Service).</w:t>
      </w:r>
    </w:p>
    <w:bookmarkEnd w:id="28"/>
    <w:bookmarkStart w:id="29" w:name="statistical-analysis-framework"/>
    <w:p>
      <w:pPr>
        <w:pStyle w:val="Heading3"/>
      </w:pPr>
      <w:r>
        <w:t xml:space="preserve">3.3 Statistical Analysis Framework</w:t>
      </w:r>
    </w:p>
    <w:p>
      <w:pPr>
        <w:pStyle w:val="FirstParagraph"/>
      </w:pPr>
      <w:r>
        <w:t xml:space="preserve">To ensure that findings are generalizable, statistical significance was calculated using a two-tailed t-test with a p-value threshold of less than 0.05. Furthermore, effect sizes were calculated to determine the clinical relevance of observed differences, moving beyond mere statistical significance to practical applicability. This dual approach is essential for a</w:t>
      </w:r>
      <w:r>
        <w:t xml:space="preserve"> </w:t>
      </w:r>
      <w:r>
        <w:rPr>
          <w:bCs/>
          <w:b/>
        </w:rPr>
        <w:t xml:space="preserve">Medical Researcher</w:t>
      </w:r>
      <w:r>
        <w:t xml:space="preserve"> </w:t>
      </w:r>
      <w:r>
        <w:t xml:space="preserve">aiming to influence policy in</w:t>
      </w:r>
      <w:r>
        <w:t xml:space="preserve"> </w:t>
      </w:r>
      <w:r>
        <w:rPr>
          <w:iCs/>
          <w:i/>
        </w:rPr>
        <w:t xml:space="preserve">United Kingdom Manchester</w:t>
      </w:r>
      <w:r>
        <w:t xml:space="preserve">.</w:t>
      </w:r>
    </w:p>
    <w:bookmarkEnd w:id="29"/>
    <w:bookmarkEnd w:id="30"/>
    <w:p>
      <w:pPr>
        <w:pStyle w:val="BodyText"/>
      </w:pPr>
      <w:r>
        <w:t xml:space="preserve">&gt;</w:t>
      </w:r>
    </w:p>
    <w:bookmarkStart w:id="34" w:name="observations-and-preliminary-findings"/>
    <w:p>
      <w:pPr>
        <w:pStyle w:val="Heading2"/>
      </w:pPr>
      <w:bookmarkStart w:id="31" w:name="results"/>
      <w:r>
        <w:t xml:space="preserve">4. Observations and Preliminary Findings</w:t>
      </w:r>
      <w:bookmarkEnd w:id="31"/>
    </w:p>
    <w:p>
      <w:pPr>
        <w:pStyle w:val="FirstParagraph"/>
      </w:pPr>
      <w:r>
        <w:t xml:space="preserve">The initial phase of the study, conducted under the supervision of a designated</w:t>
      </w:r>
      <w:r>
        <w:t xml:space="preserve"> </w:t>
      </w:r>
      <w:r>
        <w:rPr>
          <w:bCs/>
          <w:b/>
        </w:rPr>
        <w:t xml:space="preserve">Medical Researcher</w:t>
      </w:r>
      <w:r>
        <w:t xml:space="preserve">, yielded several critical observations regarding patient compliance and biomarker variability.</w:t>
      </w:r>
    </w:p>
    <w:bookmarkStart w:id="32" w:name="biomarker-variability"/>
    <w:p>
      <w:pPr>
        <w:pStyle w:val="Heading3"/>
      </w:pPr>
      <w:r>
        <w:t xml:space="preserve">4.1 Biomarker Variability</w:t>
      </w:r>
    </w:p>
    <w:p>
      <w:pPr>
        <w:pStyle w:val="FirstParagraph"/>
      </w:pPr>
      <w:r>
        <w:t xml:space="preserve">An analysis of inflammatory markers (specifically C-reactive protein levels) revealed significant variance among participants in the urban core of</w:t>
      </w:r>
      <w:r>
        <w:t xml:space="preserve"> </w:t>
      </w:r>
      <w:r>
        <w:rPr>
          <w:iCs/>
          <w:i/>
        </w:rPr>
        <w:t xml:space="preserve">United Kingdom Manchester</w:t>
      </w:r>
      <w:r>
        <w:t xml:space="preserve">, compared to rural outliers. This suggests that environmental factors unique to the metropolitan area may influence baseline health metrics, a finding that necessitates localized adjustments in diagnostic thresholds.</w:t>
      </w:r>
    </w:p>
    <w:bookmarkEnd w:id="32"/>
    <w:bookmarkStart w:id="33" w:name="protocol-adherence"/>
    <w:p>
      <w:pPr>
        <w:pStyle w:val="Heading3"/>
      </w:pPr>
      <w:r>
        <w:t xml:space="preserve">4.2 Protocol Adherence</w:t>
      </w:r>
    </w:p>
    <w:p>
      <w:pPr>
        <w:pStyle w:val="FirstParagraph"/>
      </w:pPr>
      <w:r>
        <w:t xml:space="preserve">The study monitored adherence to clinical protocols across multiple sites in</w:t>
      </w:r>
      <w:r>
        <w:t xml:space="preserve"> </w:t>
      </w:r>
      <w:r>
        <w:rPr>
          <w:iCs/>
          <w:i/>
        </w:rPr>
        <w:t xml:space="preserve">United Kingdom Manchester</w:t>
      </w:r>
      <w:r>
        <w:t xml:space="preserve">. Results indicated that while academic hospitals maintained high compliance rates, community-based clinics exhibited higher dropout rates due to logistical barriers. These findings highlight the need for</w:t>
      </w:r>
      <w:r>
        <w:t xml:space="preserve"> </w:t>
      </w:r>
      <w:r>
        <w:rPr>
          <w:bCs/>
          <w:b/>
        </w:rPr>
        <w:t xml:space="preserve">Medical Researcher</w:t>
      </w:r>
      <w:r>
        <w:t xml:space="preserve"> </w:t>
      </w:r>
      <w:r>
        <w:t xml:space="preserve">teams to develop robust patient support mechanisms, such as transportation subsidies and digital follow-up systems, to mitigate attrition bias.</w:t>
      </w:r>
    </w:p>
    <w:bookmarkEnd w:id="33"/>
    <w:bookmarkEnd w:id="34"/>
    <w:p>
      <w:pPr>
        <w:pStyle w:val="BodyText"/>
      </w:pPr>
      <w:r>
        <w:t xml:space="preserve">&gt;</w:t>
      </w:r>
    </w:p>
    <w:bookmarkStart w:id="36" w:name="discussion-and-ethical-implications"/>
    <w:p>
      <w:pPr>
        <w:pStyle w:val="Heading2"/>
      </w:pPr>
      <w:bookmarkStart w:id="35" w:name="discussion"/>
      <w:r>
        <w:t xml:space="preserve">5. Discussion and Ethical Implications</w:t>
      </w:r>
      <w:bookmarkEnd w:id="35"/>
    </w:p>
    <w:p>
      <w:pPr>
        <w:pStyle w:val="FirstParagraph"/>
      </w:pPr>
      <w:r>
        <w:t xml:space="preserve">The findings presented herein underscore the complex interplay between scientific rigor and ethical responsibility in the practice of medical science within</w:t>
      </w:r>
      <w:r>
        <w:t xml:space="preserve"> </w:t>
      </w:r>
      <w:r>
        <w:rPr>
          <w:iCs/>
          <w:i/>
        </w:rPr>
        <w:t xml:space="preserve">United Kingdom Manchester</w:t>
      </w:r>
      <w:r>
        <w:t xml:space="preserve">. The variability observed in biomarker levels cannot be attributed solely to biological factors; socioeconomic determinants, which are pronounced in certain districts of Manchester, play a significant role.</w:t>
      </w:r>
    </w:p>
    <w:p>
      <w:pPr>
        <w:pStyle w:val="BodyText"/>
      </w:pPr>
      <w:r>
        <w:t xml:space="preserve">For a</w:t>
      </w:r>
      <w:r>
        <w:t xml:space="preserve"> </w:t>
      </w:r>
      <w:r>
        <w:rPr>
          <w:bCs/>
          <w:b/>
        </w:rPr>
        <w:t xml:space="preserve">Medical Researcher</w:t>
      </w:r>
      <w:r>
        <w:t xml:space="preserve">, this presents a critical ethical imperative. It is not sufficient to simply collect data; one must contextualize it within the broader social fabric of the community being studied. In</w:t>
      </w:r>
      <w:r>
        <w:t xml:space="preserve"> </w:t>
      </w:r>
      <w:r>
        <w:rPr>
          <w:iCs/>
          <w:i/>
        </w:rPr>
        <w:t xml:space="preserve">United Kingdom Manchester</w:t>
      </w:r>
      <w:r>
        <w:t xml:space="preserve">, where health inequalities are a focal point for public health policy, research must be designed with equity in mind. This includes ensuring that study populations are representative of the city’s diverse demographics and that interventions proposed by the research are accessible to all socioeconomic groups.</w:t>
      </w:r>
    </w:p>
    <w:p>
      <w:pPr>
        <w:pStyle w:val="BodyText"/>
      </w:pPr>
      <w:r>
        <w:t xml:space="preserve">Furthermore, data privacy remains a paramount concern. Under the UK General Data Protection Regulation (UK GDPR), any</w:t>
      </w:r>
      <w:r>
        <w:t xml:space="preserve"> </w:t>
      </w:r>
      <w:r>
        <w:rPr>
          <w:bCs/>
          <w:b/>
        </w:rPr>
        <w:t xml:space="preserve">Medical Researcher</w:t>
      </w:r>
      <w:r>
        <w:t xml:space="preserve"> </w:t>
      </w:r>
      <w:r>
        <w:t xml:space="preserve">handling personal health information must implement state-of-the-art cybersecurity measures. The lab report confirms that while encryption protocols were effective in this trial, continuous monitoring and regular audits are required to maintain trust with participants in</w:t>
      </w:r>
      <w:r>
        <w:t xml:space="preserve"> </w:t>
      </w:r>
      <w:r>
        <w:rPr>
          <w:iCs/>
          <w:i/>
        </w:rPr>
        <w:t xml:space="preserve">United Kingdom Manchester</w:t>
      </w:r>
      <w:r>
        <w:t xml:space="preserve">.</w:t>
      </w:r>
    </w:p>
    <w:bookmarkEnd w:id="36"/>
    <w:p>
      <w:pPr>
        <w:pStyle w:val="BodyText"/>
      </w:pPr>
      <w:r>
        <w:t xml:space="preserve">&gt;</w:t>
      </w:r>
    </w:p>
    <w:bookmarkStart w:id="38" w:name="conclusion-and-recommendations"/>
    <w:p>
      <w:pPr>
        <w:pStyle w:val="Heading2"/>
      </w:pPr>
      <w:bookmarkStart w:id="37" w:name="conclusion"/>
      <w:r>
        <w:t xml:space="preserve">6. Conclusion and Recommendations</w:t>
      </w:r>
      <w:bookmarkEnd w:id="37"/>
    </w:p>
    <w:p>
      <w:pPr>
        <w:pStyle w:val="FirstParagraph"/>
      </w:pPr>
      <w:r>
        <w:t xml:space="preserve">In conclusion, the role of the</w:t>
      </w:r>
      <w:r>
        <w:t xml:space="preserve"> </w:t>
      </w:r>
      <w:r>
        <w:rPr>
          <w:bCs/>
          <w:b/>
        </w:rPr>
        <w:t xml:space="preserve">Medical Researcher</w:t>
      </w:r>
      <w:r>
        <w:t xml:space="preserve"> </w:t>
      </w:r>
      <w:r>
        <w:t xml:space="preserve">in</w:t>
      </w:r>
      <w:r>
        <w:t xml:space="preserve"> </w:t>
      </w:r>
      <w:r>
        <w:rPr>
          <w:iCs/>
          <w:i/>
        </w:rPr>
        <w:t xml:space="preserve">United Kingdom Manchester</w:t>
      </w:r>
      <w:r>
        <w:t xml:space="preserve"> </w:t>
      </w:r>
      <w:r>
        <w:t xml:space="preserve">is both scientifically demanding and ethically profound. This lab report has demonstrated that successful research requires not only technical proficiency in laboratory techniques but also a nuanced understanding of local epidemiological trends and social determinants of health.</w:t>
      </w:r>
    </w:p>
    <w:p>
      <w:pPr>
        <w:pStyle w:val="BodyText"/>
      </w:pPr>
      <w:r>
        <w:t xml:space="preserve">We recommend the following actions for future iterations of this study:</w:t>
      </w:r>
    </w:p>
    <w:p>
      <w:pPr>
        <w:pStyle w:val="BodyText"/>
      </w:pPr>
      <w:r>
        <w:t xml:space="preserve">&gt;</w:t>
      </w:r>
    </w:p>
    <w:p>
      <w:pPr>
        <w:pStyle w:val="BodyText"/>
      </w:pPr>
      <w:r>
        <w:rPr>
          <w:bCs/>
          <w:b/>
        </w:rPr>
        <w:t xml:space="preserve">Enhanced Community Engagement:</w:t>
      </w:r>
      <w:r>
        <w:t xml:space="preserve"> </w:t>
      </w:r>
      <w:r>
        <w:rPr>
          <w:bCs/>
          <w:b/>
        </w:rPr>
        <w:t xml:space="preserve">Medical Researcher</w:t>
      </w:r>
      <w:r>
        <w:t xml:space="preserve">s should establish community advisory boards in</w:t>
      </w:r>
      <w:r>
        <w:t xml:space="preserve"> </w:t>
      </w:r>
      <w:r>
        <w:rPr>
          <w:iCs/>
          <w:i/>
        </w:rPr>
        <w:t xml:space="preserve">United Kingdom Manchester</w:t>
      </w:r>
      <w:r>
        <w:t xml:space="preserve"> </w:t>
      </w:r>
      <w:r>
        <w:t xml:space="preserve">to guide study design and ensure cultural sensitivity.</w:t>
      </w:r>
    </w:p>
    <w:p>
      <w:pPr>
        <w:pStyle w:val="BodyText"/>
      </w:pPr>
      <w:r>
        <w:t xml:space="preserve">&gt;</w:t>
      </w:r>
    </w:p>
    <w:p>
      <w:pPr>
        <w:pStyle w:val="BodyText"/>
      </w:pPr>
      <w:r>
        <w:rPr>
          <w:bCs/>
          <w:b/>
        </w:rPr>
        <w:t xml:space="preserve">Digital Integration:</w:t>
      </w:r>
      <w:r>
        <w:t xml:space="preserve"> </w:t>
      </w:r>
      <w:r>
        <w:t xml:space="preserve">Invest in interoperable digital health platforms to streamline data collection across different healthcare providers in the region.</w:t>
      </w:r>
    </w:p>
    <w:p>
      <w:pPr>
        <w:pStyle w:val="BodyText"/>
      </w:pPr>
      <w:r>
        <w:t xml:space="preserve">&gt;</w:t>
      </w:r>
    </w:p>
    <w:p>
      <w:pPr>
        <w:pStyle w:val="BodyText"/>
      </w:pPr>
      <w:r>
        <w:rPr>
          <w:bCs/>
          <w:b/>
        </w:rPr>
        <w:t xml:space="preserve">Continuous Training:</w:t>
      </w:r>
      <w:r>
        <w:t xml:space="preserve"> </w:t>
      </w:r>
      <w:r>
        <w:t xml:space="preserve">Implement mandatory training programs for all research staff on the latest ethical guidelines and data protection laws specific to the UK context.</w:t>
      </w:r>
    </w:p>
    <w:p>
      <w:pPr>
        <w:pStyle w:val="BodyText"/>
      </w:pPr>
      <w:r>
        <w:t xml:space="preserve">&gt;</w:t>
      </w:r>
    </w:p>
    <w:p>
      <w:pPr>
        <w:pStyle w:val="BodyText"/>
      </w:pPr>
      <w:r>
        <w:t xml:space="preserve">By adhering to these recommendations, we can ensure that medical research in</w:t>
      </w:r>
      <w:r>
        <w:t xml:space="preserve"> </w:t>
      </w:r>
      <w:r>
        <w:rPr>
          <w:iCs/>
          <w:i/>
        </w:rPr>
        <w:t xml:space="preserve">United Kingdom Manchester</w:t>
      </w:r>
      <w:r>
        <w:t xml:space="preserve"> </w:t>
      </w:r>
      <w:r>
        <w:t xml:space="preserve">remains at the forefront of global innovation, delivering tangible benefits to patient care while upholding the highest standards of integrity and scientific excellence. The work of every</w:t>
      </w:r>
      <w:r>
        <w:t xml:space="preserve"> </w:t>
      </w:r>
      <w:r>
        <w:rPr>
          <w:bCs/>
          <w:b/>
        </w:rPr>
        <w:t xml:space="preserve">Medical Researcher</w:t>
      </w:r>
      <w:r>
        <w:t xml:space="preserve"> </w:t>
      </w:r>
      <w:r>
        <w:t xml:space="preserve">contributes to this vital mission, reinforcing Manchester’s status as a beacon of medical discovery.</w:t>
      </w:r>
    </w:p>
    <w:bookmarkEnd w:id="38"/>
    <w:p>
      <w:pPr>
        <w:pStyle w:val="BodyText"/>
      </w:pPr>
      <w:r>
        <w:t xml:space="preserve">&gt;</w:t>
      </w:r>
    </w:p>
    <w:bookmarkStart w:id="40" w:name="references-and-regulatory-bodies"/>
    <w:p>
      <w:pPr>
        <w:pStyle w:val="Heading2"/>
      </w:pPr>
      <w:bookmarkStart w:id="39" w:name="references"/>
      <w:r>
        <w:t xml:space="preserve">7. References and Regulatory Bodies</w:t>
      </w:r>
      <w:bookmarkEnd w:id="39"/>
    </w:p>
    <w:p>
      <w:pPr>
        <w:pStyle w:val="FirstParagraph"/>
      </w:pPr>
      <w:r>
        <w:t xml:space="preserve">This report was compiled in accordance with guidelines provided by:</w:t>
      </w:r>
    </w:p>
    <w:p>
      <w:pPr>
        <w:pStyle w:val="BodyText"/>
      </w:pPr>
      <w:r>
        <w:t xml:space="preserve">&gt;</w:t>
      </w:r>
    </w:p>
    <w:p>
      <w:pPr>
        <w:pStyle w:val="BodyText"/>
      </w:pPr>
      <w:r>
        <w:t xml:space="preserve">NHS Health Research Authority (HRA)</w:t>
      </w:r>
    </w:p>
    <w:p>
      <w:pPr>
        <w:pStyle w:val="BodyText"/>
      </w:pPr>
      <w:r>
        <w:t xml:space="preserve">&gt;</w:t>
      </w:r>
    </w:p>
    <w:p>
      <w:pPr>
        <w:pStyle w:val="BodyText"/>
      </w:pPr>
      <w:r>
        <w:t xml:space="preserve">The University of Manchester Institute of Science and Technology (UMIST) Ethics Committee</w:t>
      </w:r>
    </w:p>
    <w:p>
      <w:pPr>
        <w:pStyle w:val="BodyText"/>
      </w:pPr>
      <w:r>
        <w:t xml:space="preserve">&gt;</w:t>
      </w:r>
    </w:p>
    <w:p>
      <w:pPr>
        <w:pStyle w:val="BodyText"/>
      </w:pPr>
      <w:r>
        <w:t xml:space="preserve">Middlesex Hospital NHS Trust Research Governance Framework</w:t>
      </w:r>
    </w:p>
    <w:p>
      <w:pPr>
        <w:pStyle w:val="BodyText"/>
      </w:pPr>
      <w:r>
        <w:t xml:space="preserve">&gt;</w:t>
      </w:r>
    </w:p>
    <w:p>
      <w:pPr>
        <w:pStyle w:val="BodyText"/>
      </w:pPr>
      <w:r>
        <w:t xml:space="preserve">UK General Data Protection Regulation (UK GDPR) Articles regarding Scientific Research</w:t>
      </w:r>
    </w:p>
    <w:p>
      <w:pPr>
        <w:pStyle w:val="BodyText"/>
      </w:pPr>
      <w:r>
        <w:t xml:space="preserve">&gt;</w:t>
      </w:r>
    </w:p>
    <w:p>
      <w:pPr>
        <w:pStyle w:val="FirstParagraph"/>
      </w:pPr>
      <w:r>
        <w:br/>
      </w:r>
      <w:r>
        <w:br/>
      </w:r>
    </w:p>
    <w:p>
      <w:pPr>
        <w:pStyle w:val="BodyText"/>
      </w:pPr>
      <w:r>
        <w:rPr>
          <w:bCs/>
          <w:b/>
        </w:rPr>
        <w:t xml:space="preserve">-- End of Lab Report --</w:t>
      </w:r>
    </w:p>
    <w:bookmarkEnd w:id="40"/>
    <w:p>
      <w:pPr>
        <w:pStyle w:val="BodyText"/>
      </w:pPr>
      <w:r>
        <w:t xml:space="preserve">&gt;</w:t>
      </w:r>
    </w:p>
    <w:p>
      <w:pPr>
        <w:pStyle w:val="BodyText"/>
      </w:pPr>
      <w:r>
        <w:t xml:space="preserve">&gt;</w:t>
      </w:r>
    </w:p>
    <w:p>
      <w:pPr>
        <w:pStyle w:val="BodyText"/>
      </w:pPr>
      <w:r>
        <w:t xml:space="preserve">&gt;&gt;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dc:title>
  <dc:creator/>
  <dc:language>en</dc:language>
  <cp:keywords/>
  <dcterms:created xsi:type="dcterms:W3CDTF">2026-07-30T00:35:32Z</dcterms:created>
  <dcterms:modified xsi:type="dcterms:W3CDTF">2026-07-30T00:35:32Z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