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and</w:t>
      </w:r>
      <w:r>
        <w:t xml:space="preserve"> </w:t>
      </w:r>
      <w:r>
        <w:t xml:space="preserve">Translational</w:t>
      </w:r>
      <w:r>
        <w:t xml:space="preserve"> </w:t>
      </w:r>
      <w:r>
        <w:t xml:space="preserve">Research</w:t>
      </w:r>
      <w:r>
        <w:t xml:space="preserve"> </w:t>
      </w:r>
      <w:r>
        <w:t xml:space="preserve">Analysis</w:t>
      </w:r>
    </w:p>
    <w:p>
      <w:pPr>
        <w:pStyle w:val="FirstParagraph"/>
      </w:pPr>
      <w:r>
        <w:rPr>
          <w:bCs/>
          <w:b/>
        </w:rPr>
        <w:t xml:space="preserve">Date:</w:t>
      </w:r>
      <w:r>
        <w:t xml:space="preserve"> </w:t>
      </w:r>
      <w:r>
        <w:t xml:space="preserve">October 24, 2023</w:t>
      </w:r>
    </w:p>
    <w:p>
      <w:pPr>
        <w:pStyle w:val="BodyText"/>
      </w:pPr>
      <w:r>
        <w:rPr>
          <w:bCs/>
          <w:b/>
        </w:rPr>
        <w:t xml:space="preserve">ID Number:</w:t>
      </w:r>
      <w:r>
        <w:t xml:space="preserve"> </w:t>
      </w:r>
      <w:r>
        <w:t xml:space="preserve">CHI-TR-2023-8941-X</w:t>
      </w:r>
    </w:p>
    <w:p>
      <w:pPr>
        <w:pStyle w:val="BodyText"/>
      </w:pPr>
      <w:r>
        <w:rPr>
          <w:bCs/>
          <w:b/>
        </w:rPr>
        <w:t xml:space="preserve">Institution:</w:t>
      </w:r>
      <w:r>
        <w:t xml:space="preserve"> </w:t>
      </w:r>
      <w:r>
        <w:t xml:space="preserve">Center for Advanced Medical Sciences</w:t>
      </w:r>
    </w:p>
    <w:bookmarkStart w:id="33" w:name="Xccf6fed598dfc4bd37de4123c0800ff4af876fd"/>
    <w:p>
      <w:pPr>
        <w:pStyle w:val="Heading1"/>
      </w:pPr>
      <w:r>
        <w:t xml:space="preserve">Laboratory Report: Clinical and Translational Research Analysis on Novel Therapeutic Interventions in Urban Populations</w:t>
      </w:r>
    </w:p>
    <w:p>
      <w:pPr>
        <w:pStyle w:val="FirstParagraph"/>
      </w:pPr>
      <w:r>
        <w:t xml:space="preserve">Prepared By:</w:t>
      </w:r>
    </w:p>
    <w:p>
      <w:pPr>
        <w:pStyle w:val="BodyText"/>
      </w:pPr>
      <w:r>
        <w:t xml:space="preserve">Dr. Eleanor Vance, Lead Medical Researcher</w:t>
      </w:r>
    </w:p>
    <w:p>
      <w:pPr>
        <w:pStyle w:val="BodyText"/>
      </w:pPr>
      <w:r>
        <w:t xml:space="preserve">Location:</w:t>
      </w:r>
    </w:p>
    <w:p>
      <w:pPr>
        <w:pStyle w:val="BodyText"/>
      </w:pPr>
      <w:r>
        <w:t xml:space="preserve">United States Chicago, IL 60611</w:t>
      </w:r>
    </w:p>
    <w:bookmarkStart w:id="20" w:name="abstract"/>
    <w:p>
      <w:pPr>
        <w:pStyle w:val="Heading2"/>
      </w:pPr>
      <w:r>
        <w:t xml:space="preserve">Abstract</w:t>
      </w:r>
    </w:p>
    <w:p>
      <w:pPr>
        <w:pStyle w:val="FirstParagraph"/>
      </w:pPr>
      <w:r>
        <w:t xml:space="preserve">This Laboratory Report presents a comprehensive analysis of Phase II clinical trial results regarding the efficacy of a novel anti-inflammatory agent, designated as Compound X-9, in treating chronic autoimmune disorders. The study was conducted within the metropolitan area of United States Chicago, targeting a diverse demographic to ensure statistical generalizability. The primary objective was to evaluate safety profiles, dosing consistency, and therapeutic outcomes compared to standard-of-care treatments. Our findings indicate a statistically significant reduction in inflammatory markers among participants receiving Compound X-9, suggesting its potential viability for broader public health implementation in dense urban environments.</w:t>
      </w:r>
    </w:p>
    <w:bookmarkEnd w:id="20"/>
    <w:bookmarkStart w:id="21" w:name="introduction"/>
    <w:p>
      <w:pPr>
        <w:pStyle w:val="Heading2"/>
      </w:pPr>
      <w:r>
        <w:t xml:space="preserve">1. Introduction</w:t>
      </w:r>
    </w:p>
    <w:p>
      <w:pPr>
        <w:pStyle w:val="FirstParagraph"/>
      </w:pPr>
      <w:r>
        <w:t xml:space="preserve">The prevalence of autoimmune and chronic inflammatory conditions has risen steadily over the past decade, posing a significant burden on healthcare systems within major metropolitan hubs. In United States Chicago, rapid urbanization and varying environmental factors have contributed to an increased incidence of these disorders among diverse populations. Traditional treatments often involve long-term use of corticosteroids or biologic agents, which are associated with substantial side effects and high costs.</w:t>
      </w:r>
    </w:p>
    <w:p>
      <w:pPr>
        <w:pStyle w:val="BodyText"/>
      </w:pPr>
      <w:r>
        <w:t xml:space="preserve">As a Medical Researcher specializing in translational medicine, I have focused on bridging the gap between basic laboratory science and clinical application. This Laboratory Report details our investigation into Compound X-9, a small-molecule inhibitor designed to target specific cytokine pathways involved in inflammation. The unique demographic landscape of United States Chicago provided an ideal setting for this study, allowing us to assess how genetic diversity and socioeconomic variables influence drug metabolism and efficacy.</w:t>
      </w:r>
    </w:p>
    <w:bookmarkEnd w:id="21"/>
    <w:bookmarkStart w:id="25" w:name="methodology"/>
    <w:p>
      <w:pPr>
        <w:pStyle w:val="Heading2"/>
      </w:pPr>
      <w:r>
        <w:t xml:space="preserve">2. Methodology</w:t>
      </w:r>
    </w:p>
    <w:bookmarkStart w:id="22" w:name="study-design"/>
    <w:p>
      <w:pPr>
        <w:pStyle w:val="Heading3"/>
      </w:pPr>
      <w:r>
        <w:t xml:space="preserve">2.1 Study Design</w:t>
      </w:r>
    </w:p>
    <w:p>
      <w:pPr>
        <w:pStyle w:val="FirstParagraph"/>
      </w:pPr>
      <w:r>
        <w:t xml:space="preserve">This was a randomized, double-blind, placebo-controlled trial conducted across three primary healthcare facilities in the Greater Chicago Area. The study enrolled 450 participants aged 18 to 65 who had been diagnosed with moderate-to-severe rheumatoid arthritis or systemic lupus erythematosus for at least six months prior to enrollment.</w:t>
      </w:r>
    </w:p>
    <w:bookmarkEnd w:id="22"/>
    <w:bookmarkStart w:id="23" w:name="participant-selection"/>
    <w:p>
      <w:pPr>
        <w:pStyle w:val="Heading3"/>
      </w:pPr>
      <w:r>
        <w:t xml:space="preserve">2.2 Participant Selection</w:t>
      </w:r>
    </w:p>
    <w:p>
      <w:pPr>
        <w:pStyle w:val="FirstParagraph"/>
      </w:pPr>
      <w:r>
        <w:t xml:space="preserve">To reflect the diverse population of United States Chicago, recruitment efforts were targeted across various neighborhoods, including South Side, West Side, and Lincoln Park. Inclusion criteria required a stable baseline of disease activity score (DAS-28) and no recent use of experimental biologics. Exclusion criteria included pregnancy, active infections, or severe hepatic impairment.</w:t>
      </w:r>
    </w:p>
    <w:bookmarkEnd w:id="23"/>
    <w:bookmarkStart w:id="24" w:name="data-collection-procedures"/>
    <w:p>
      <w:pPr>
        <w:pStyle w:val="Heading3"/>
      </w:pPr>
      <w:r>
        <w:t xml:space="preserve">2.3 Data Collection Procedures</w:t>
      </w:r>
    </w:p>
    <w:p>
      <w:pPr>
        <w:pStyle w:val="FirstParagraph"/>
      </w:pPr>
      <w:r>
        <w:t xml:space="preserve">Data was collected over a 12-week period. Participants were randomized into two groups: Group A received Compound X-9 (n=225), and Group B received a placebo (n=225). Primary endpoints included the change in C-reactive protein (CRP) levels and erythrocyte sedimentation rate (ESR). Secondary endpoints focused on patient-reported outcomes, including pain intensity scales and quality of life assessments.</w:t>
      </w:r>
    </w:p>
    <w:p>
      <w:pPr>
        <w:pStyle w:val="BodyText"/>
      </w:pPr>
      <w:r>
        <w:t xml:space="preserve">All samples were processed at our central laboratory facility in United States Chicago, ensuring standardized handling protocols. Blood samples were analyzed using high-performance liquid chromatography (HPLC) to determine serum concentrations of the active compound.</w:t>
      </w:r>
    </w:p>
    <w:bookmarkEnd w:id="24"/>
    <w:bookmarkEnd w:id="25"/>
    <w:bookmarkStart w:id="29" w:name="results"/>
    <w:p>
      <w:pPr>
        <w:pStyle w:val="Heading2"/>
      </w:pPr>
      <w:r>
        <w:t xml:space="preserve">3. Results</w:t>
      </w:r>
    </w:p>
    <w:bookmarkStart w:id="26" w:name="efficacy-outcomes"/>
    <w:p>
      <w:pPr>
        <w:pStyle w:val="Heading3"/>
      </w:pPr>
      <w:r>
        <w:t xml:space="preserve">3.1 Efficacy Outcomes</w:t>
      </w:r>
    </w:p>
    <w:p>
      <w:pPr>
        <w:pStyle w:val="FirstParagraph"/>
      </w:pPr>
      <w:r>
        <w:t xml:space="preserve">The results demonstrated a marked improvement in the treatment group. At week 12, participants in Group A exhibited a mean reduction of 45% in CRP levels compared to only 8% reduction in the placebo group (p &lt; 0.001). Similarly, ESR levels dropped significantly more sharply in those receiving Compound X-9. The Medical Researcher team observed that these improvements were consistent across all demographic subgroups, including age brackets and ethnic backgrounds prevalent in United States Chicago.</w:t>
      </w:r>
    </w:p>
    <w:bookmarkEnd w:id="26"/>
    <w:bookmarkStart w:id="27" w:name="safety-profile"/>
    <w:p>
      <w:pPr>
        <w:pStyle w:val="Heading3"/>
      </w:pPr>
      <w:r>
        <w:t xml:space="preserve">3.2 Safety Profile</w:t>
      </w:r>
    </w:p>
    <w:p>
      <w:pPr>
        <w:pStyle w:val="FirstParagraph"/>
      </w:pPr>
      <w:r>
        <w:t xml:space="preserve">Safety data indicated that Compound X-9 was well-tolerated. Adverse events reported were primarily mild to moderate, including transient gastrointestinal distress and headache. Serious adverse events were rare and deemed unrelated to the study drug in all but two cases, which required immediate discontinuation of the protocol. No significant differences in liver enzyme levels or renal function markers were observed between groups.</w:t>
      </w:r>
    </w:p>
    <w:bookmarkEnd w:id="27"/>
    <w:bookmarkStart w:id="28" w:name="demographic-analysis"/>
    <w:p>
      <w:pPr>
        <w:pStyle w:val="Heading3"/>
      </w:pPr>
      <w:r>
        <w:t xml:space="preserve">3.3 Demographic Analysis</w:t>
      </w:r>
    </w:p>
    <w:p>
      <w:pPr>
        <w:pStyle w:val="FirstParagraph"/>
      </w:pPr>
      <w:r>
        <w:t xml:space="preserve">An interesting sub-analysis revealed that participants from lower socioeconomic zones within United States Chicago showed slightly slower initial response times compared to those from higher-income areas. However, by week 12, the gap narrowed significantly, suggesting that while access to care may influence early compliance, the pharmacological efficacy of Compound X-9 remains robust regardless of background.</w:t>
      </w:r>
    </w:p>
    <w:bookmarkEnd w:id="28"/>
    <w:bookmarkEnd w:id="29"/>
    <w:bookmarkStart w:id="30" w:name="discussion"/>
    <w:p>
      <w:pPr>
        <w:pStyle w:val="Heading2"/>
      </w:pPr>
      <w:r>
        <w:t xml:space="preserve">4. Discussion</w:t>
      </w:r>
    </w:p>
    <w:p>
      <w:pPr>
        <w:pStyle w:val="FirstParagraph"/>
      </w:pPr>
      <w:r>
        <w:t xml:space="preserve">The findings presented in this Laboratory Report underscore the potential of Compound X-9 as a viable therapeutic option for chronic inflammatory diseases. The significant reduction in inflammatory markers supports the hypothesis that targeted cytokine inhibition can effectively manage disease activity without the heavy side-effect profile associated with current standard treatments.</w:t>
      </w:r>
    </w:p>
    <w:p>
      <w:pPr>
        <w:pStyle w:val="BodyText"/>
      </w:pPr>
      <w:r>
        <w:t xml:space="preserve">Furthermore, conducting this study in United States Chicago allowed us to capture real-world variability. Urban environments present unique stressors, such as air pollution and high-density living, which can exacerbate inflammatory conditions. The fact that Compound X-9 performed consistently well across these varied settings suggests it is a resilient intervention. As a Medical Researcher, I note that the diversity of the participant pool strengthens the external validity of our results.</w:t>
      </w:r>
    </w:p>
    <w:p>
      <w:pPr>
        <w:pStyle w:val="BodyText"/>
      </w:pPr>
      <w:r>
        <w:t xml:space="preserve">However, limitations exist. The study duration was limited to 12 weeks, and long-term safety data is required before widespread adoption. Additionally, while cost-effectiveness was not the primary focus, future analyses must consider whether this new agent provides a more economical alternative to biologics for public health systems in United States Chicago.</w:t>
      </w:r>
    </w:p>
    <w:bookmarkEnd w:id="30"/>
    <w:bookmarkStart w:id="31" w:name="conclusion"/>
    <w:p>
      <w:pPr>
        <w:pStyle w:val="Heading2"/>
      </w:pPr>
      <w:r>
        <w:t xml:space="preserve">5. Conclusion</w:t>
      </w:r>
    </w:p>
    <w:p>
      <w:pPr>
        <w:pStyle w:val="FirstParagraph"/>
      </w:pPr>
      <w:r>
        <w:t xml:space="preserve">In conclusion, this Laboratory Report confirms that Compound X-9 demonstrates significant efficacy and safety in treating chronic autoimmune disorders within the diverse population of United States Chicago. The data supports further investigation into Phase III trials to validate these findings on a larger scale. For the Medical Researcher community, these results highlight the importance of inclusive trial designs that reflect urban demographics. By addressing gaps in current therapeutic options, we move closer to improving health outcomes for vulnerable populations in major American cities.</w:t>
      </w:r>
    </w:p>
    <w:bookmarkEnd w:id="31"/>
    <w:bookmarkStart w:id="32" w:name="references-and-appendices"/>
    <w:p>
      <w:pPr>
        <w:pStyle w:val="Heading2"/>
      </w:pPr>
      <w:r>
        <w:t xml:space="preserve">6. References and Appendices</w:t>
      </w:r>
    </w:p>
    <w:p>
      <w:pPr>
        <w:pStyle w:val="FirstParagraph"/>
      </w:pPr>
      <w:r>
        <w:rPr>
          <w:bCs/>
          <w:b/>
        </w:rPr>
        <w:t xml:space="preserve">Data Appendix:</w:t>
      </w:r>
    </w:p>
    <w:p>
      <w:pPr>
        <w:numPr>
          <w:ilvl w:val="0"/>
          <w:numId w:val="1001"/>
        </w:numPr>
        <w:pStyle w:val="Compact"/>
      </w:pPr>
      <w:r>
        <w:rPr>
          <w:bCs/>
          <w:b/>
        </w:rPr>
        <w:t xml:space="preserve">Appendix A:</w:t>
      </w:r>
      <w:r>
        <w:t xml:space="preserve"> </w:t>
      </w:r>
      <w:r>
        <w:t xml:space="preserve">Detailed Statistical Analysis Plan (SAP) for Chicago Cohort.</w:t>
      </w:r>
    </w:p>
    <w:p>
      <w:pPr>
        <w:numPr>
          <w:ilvl w:val="0"/>
          <w:numId w:val="1001"/>
        </w:numPr>
        <w:pStyle w:val="Compact"/>
      </w:pPr>
      <w:r>
        <w:rPr>
          <w:bCs/>
          <w:b/>
        </w:rPr>
        <w:t xml:space="preserve">Appendix B:</w:t>
      </w:r>
      <w:r>
        <w:t xml:space="preserve"> </w:t>
      </w:r>
      <w:r>
        <w:t xml:space="preserve">Raw Laboratory Values for CRP and ESR markers.</w:t>
      </w:r>
    </w:p>
    <w:p>
      <w:pPr>
        <w:numPr>
          <w:ilvl w:val="0"/>
          <w:numId w:val="1001"/>
        </w:numPr>
        <w:pStyle w:val="Compact"/>
      </w:pPr>
      <w:r>
        <w:t xml:space="preserve">Appendix 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and Translational Research Analysis</dc:title>
  <dc:creator/>
  <dc:language>en</dc:language>
  <cp:keywords/>
  <dcterms:created xsi:type="dcterms:W3CDTF">2026-07-30T06:18:15Z</dcterms:created>
  <dcterms:modified xsi:type="dcterms:W3CDTF">2026-07-30T06:18:15Z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