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d6cfafc66a7ea4396c65c46abccc7b00076cf14"/>
    <w:p>
      <w:pPr>
        <w:pStyle w:val="Heading1"/>
      </w:pPr>
      <w:r>
        <w:t xml:space="preserve">Laboratory Report and Clinical Analysis Summary</w:t>
      </w:r>
    </w:p>
    <w:p>
      <w:pPr>
        <w:pStyle w:val="FirstParagraph"/>
      </w:pPr>
      <w:r>
        <w:rPr>
          <w:bCs/>
          <w:b/>
        </w:rPr>
        <w:t xml:space="preserve">Institution:</w:t>
      </w:r>
      <w:r>
        <w:t xml:space="preserve"> </w:t>
      </w:r>
      <w:r>
        <w:t xml:space="preserve">Center for Advanced Medical Research, Los Angeles Branch</w:t>
      </w:r>
      <w:r>
        <w:br/>
      </w:r>
      <w:r>
        <w:rPr>
          <w:bCs/>
          <w:b/>
        </w:rPr>
        <w:t xml:space="preserve">Date of Report:</w:t>
      </w:r>
      <w:r>
        <w:t xml:space="preserve"> </w:t>
      </w:r>
      <w:r>
        <w:t xml:space="preserve">October 24, 2023</w:t>
      </w:r>
      <w:r>
        <w:br/>
      </w:r>
      <w:r>
        <w:rPr>
          <w:bCs/>
          <w:b/>
        </w:rPr>
        <w:t xml:space="preserve">Jurisdiction:</w:t>
      </w:r>
      <w:r>
        <w:t xml:space="preserve"> </w:t>
      </w:r>
      <w:r>
        <w:t xml:space="preserve">United States Los Angeles Regional Health Authority</w:t>
      </w:r>
      <w:r>
        <w:br/>
      </w:r>
      <w:r>
        <w:rPr>
          <w:bCs/>
          <w:b/>
        </w:rPr>
        <w:t xml:space="preserve">Report ID:</w:t>
      </w:r>
      <w:r>
        <w:t xml:space="preserve"> </w:t>
      </w:r>
      <w:r>
        <w:t xml:space="preserve">LA-MR-2023-894-B</w:t>
      </w:r>
    </w:p>
    <w:bookmarkEnd w:id="20"/>
    <w:bookmarkStart w:id="21" w:name="i.-executive-summary"/>
    <w:p>
      <w:pPr>
        <w:pStyle w:val="Heading2"/>
      </w:pPr>
      <w:r>
        <w:t xml:space="preserve">I. Executive Summary</w:t>
      </w:r>
    </w:p>
    <w:p>
      <w:pPr>
        <w:pStyle w:val="FirstParagraph"/>
      </w:pPr>
      <w:r>
        <w:t xml:space="preserve">This document serves as the comprehensive Lab Report generated under the supervision of the designated Medical Researcher for clinical trials conducted within the United States Los Angeles metropolitan area. The primary objective of this study was to evaluate the efficacy and safety profile of a novel immunomodulatory compound, designated here as "Immuno-X," in treating early-stage autoimmune inflammatory conditions. The findings presented herein adhere strictly to the regulatory frameworks established by the Food and Drug Administration (FDA) and local health codes specific to Los Angeles County.</w:t>
      </w:r>
    </w:p>
    <w:p>
      <w:pPr>
        <w:pStyle w:val="BodyText"/>
      </w:pPr>
      <w:r>
        <w:t xml:space="preserve">The Medical Researcher, acting as the principal investigator, oversaw a twelve-month longitudinal study involving 250 participants recruited from various healthcare facilities across Los Angeles. The data collected indicates a statistically significant reduction in inflammatory markers among the treatment group compared to the placebo control group. This report details the methodology, statistical analysis, safety observations, and final conclusions drawn by the Medical Researcher.</w:t>
      </w:r>
    </w:p>
    <w:bookmarkEnd w:id="21"/>
    <w:bookmarkStart w:id="22" w:name="ii.-introduction-and-background"/>
    <w:p>
      <w:pPr>
        <w:pStyle w:val="Heading2"/>
      </w:pPr>
      <w:r>
        <w:t xml:space="preserve">II. Introduction and Background</w:t>
      </w:r>
    </w:p>
    <w:p>
      <w:pPr>
        <w:pStyle w:val="FirstParagraph"/>
      </w:pPr>
      <w:r>
        <w:t xml:space="preserve">In the dynamic medical landscape of the United States Los Angeles region, there is a pressing need for effective treatments for autoimmune disorders, which disproportionately affect urban populations due to environmental stressors and lifestyle factors. Los Angeles serves as a critical hub for biomedical innovation in California, providing a diverse demographic pool that enhances the generalizability of clinical trial results.</w:t>
      </w:r>
    </w:p>
    <w:p>
      <w:pPr>
        <w:pStyle w:val="BodyText"/>
      </w:pPr>
      <w:r>
        <w:t xml:space="preserve">The role of the Medical Researcher in this context is pivotal. Unlike traditional observational studies, this trial required active intervention monitoring, rigorous ethical oversight, and real-time data aggregation to ensure patient safety. The background literature reviewed for this Lab Report highlights gaps in current therapeutic approaches regarding long-term remission rates and side-effect management. This study aims to bridge that gap by introducing Immuno-X, a compound designed to target specific cytokine pathways involved in chronic inflammation.</w:t>
      </w:r>
    </w:p>
    <w:bookmarkEnd w:id="22"/>
    <w:bookmarkStart w:id="23" w:name="iii.-methodology"/>
    <w:p>
      <w:pPr>
        <w:pStyle w:val="Heading2"/>
      </w:pPr>
      <w:r>
        <w:t xml:space="preserve">III. Methodology</w:t>
      </w:r>
    </w:p>
    <w:p>
      <w:pPr>
        <w:pStyle w:val="FirstParagraph"/>
      </w:pPr>
      <w:r>
        <w:rPr>
          <w:bCs/>
          <w:b/>
        </w:rPr>
        <w:t xml:space="preserve">A. Study Design</w:t>
      </w:r>
      <w:r>
        <w:br/>
      </w:r>
      <w:r>
        <w:t xml:space="preserve">The study utilized a randomized, double-blind, placebo-controlled design. Participants were assigned to either the treatment arm (receiving Immuno-X) or the control arm (receiving a saline placebo). Randomization was performed using computer-generated algorithms to minimize selection bias.</w:t>
      </w:r>
    </w:p>
    <w:p>
      <w:pPr>
        <w:pStyle w:val="BodyText"/>
      </w:pPr>
      <w:r>
        <w:rPr>
          <w:bCs/>
          <w:b/>
        </w:rPr>
        <w:t xml:space="preserve">B. Participant Selection</w:t>
      </w:r>
      <w:r>
        <w:br/>
      </w:r>
      <w:r>
        <w:t xml:space="preserve">Recruitment occurred at five major medical centers in Los Angeles. Inclusion criteria required participants to be between the ages of 18 and 65, with a confirmed diagnosis of mild-to-moderate autoimmune inflammation for at least six months prior to enrollment. Exclusion criteria included pregnancy, severe comorbidities, and concurrent use of immunosuppressants.</w:t>
      </w:r>
    </w:p>
    <w:p>
      <w:pPr>
        <w:pStyle w:val="BodyText"/>
      </w:pPr>
      <w:r>
        <w:rPr>
          <w:bCs/>
          <w:b/>
        </w:rPr>
        <w:t xml:space="preserve">C. Data Collection Protocols</w:t>
      </w:r>
      <w:r>
        <w:br/>
      </w:r>
      <w:r>
        <w:t xml:space="preserve">Blood samples were collected bi-weekly to measure C-reactive protein (CRP) levels and erythrocyte sedimentation rate (ESR). The Medical Researcher conducted monthly clinical assessments to monitor adverse events and efficacy endpoints. All data was anonymized and stored on encrypted servers compliant with HIPAA regulations, ensuring the privacy rights of patients in the United States.</w:t>
      </w:r>
    </w:p>
    <w:bookmarkEnd w:id="23"/>
    <w:bookmarkStart w:id="24" w:name="iv.-results"/>
    <w:p>
      <w:pPr>
        <w:pStyle w:val="Heading2"/>
      </w:pPr>
      <w:r>
        <w:t xml:space="preserve">IV. Results</w:t>
      </w:r>
    </w:p>
    <w:p>
      <w:pPr>
        <w:pStyle w:val="FirstParagraph"/>
      </w:pPr>
      <w:r>
        <w:t xml:space="preserve">The analysis phase, conducted by the Medical Researcher and supported by biostatisticians at the Los Angeles research facility, revealed notable outcomes. Over the twelve-month period, 85% of participants in the treatment group achieved a measurable reduction in CRP levels greater than 50%. In contrast, only 20% of the placebo group demonstrated similar improvements.</w:t>
      </w:r>
    </w:p>
    <w:p>
      <w:pPr>
        <w:pStyle w:val="BodyText"/>
      </w:pPr>
      <w:r>
        <w:t xml:space="preserve">Metric</w:t>
      </w:r>
    </w:p>
    <w:bookmarkEnd w:id="24"/>
    <w:p>
      <w:pPr>
        <w:pStyle w:val="BodyText"/>
      </w:pPr>
      <w:r>
        <w:t xml:space="preserve">Treatment Group (N=125)</w:t>
      </w:r>
    </w:p>
    <w:p>
      <w:pPr>
        <w:pStyle w:val="BodyText"/>
      </w:pPr>
      <w:r>
        <w:t xml:space="preserve">Placebo Group (N=125)</w:t>
      </w:r>
    </w:p>
    <w:p>
      <w:pPr>
        <w:pStyle w:val="BodyText"/>
      </w:pPr>
      <w:r>
        <w:t xml:space="preserve">Average CRP Reduction (%)</w:t>
      </w:r>
    </w:p>
    <w:p>
      <w:pPr>
        <w:pStyle w:val="BodyText"/>
      </w:pPr>
      <w:r>
        <w:t xml:space="preserve">+62%</w:t>
      </w:r>
    </w:p>
    <w:p>
      <w:pPr>
        <w:pStyle w:val="BodyText"/>
      </w:pPr>
      <w:r>
        <w:t xml:space="preserve">+18%</w:t>
      </w:r>
    </w:p>
    <w:p>
      <w:pPr>
        <w:pStyle w:val="BodyText"/>
      </w:pPr>
      <w:r>
        <w:t xml:space="preserve">Pain Score Reduction (VAS)</w:t>
      </w:r>
    </w:p>
    <w:p>
      <w:pPr>
        <w:pStyle w:val="BodyText"/>
      </w:pPr>
      <w:r>
        <w:t xml:space="preserve">-3.5 points</w:t>
      </w:r>
    </w:p>
    <w:p>
      <w:pPr>
        <w:pStyle w:val="BodyText"/>
      </w:pPr>
      <w:r>
        <w:t xml:space="preserve">&gt;</w:t>
      </w:r>
    </w:p>
    <w:p>
      <w:pPr>
        <w:pStyle w:val="BodyText"/>
      </w:pPr>
      <w:r>
        <w:t xml:space="preserve">The p-value for the difference in CRP reduction between groups was calculated at 0.003, indicating high statistical significance. Furthermore, no severe adverse events were reported in either group, although mild gastrointestinal discomfort was noted in 5% of the treatment group.</w:t>
      </w:r>
    </w:p>
    <w:bookmarkStart w:id="25" w:name="v.-discussion"/>
    <w:p>
      <w:pPr>
        <w:pStyle w:val="Heading2"/>
      </w:pPr>
      <w:r>
        <w:t xml:space="preserve">V. Discussion</w:t>
      </w:r>
    </w:p>
    <w:p>
      <w:pPr>
        <w:pStyle w:val="FirstParagraph"/>
      </w:pPr>
      <w:r>
        <w:t xml:space="preserve">The results presented in this Lab Report underscore the potential of Immuno-X as a viable therapeutic option for autoimmune conditions. The Medical Researcher emphasizes that while the efficacy is promising, the long-term durability of these effects requires further investigation. The unique demographic diversity of Los Angeles allowed for robust subgroup analyses, revealing consistent benefits across age and gender lines.</w:t>
      </w:r>
    </w:p>
    <w:p>
      <w:pPr>
        <w:pStyle w:val="BodyText"/>
      </w:pPr>
      <w:r>
        <w:t xml:space="preserve">However, challenges remain. Supply chain logistics in United States Los Angeles presented minor delays in drug distribution during the initial phases of the study, which the research team had to mitigate through strategic stockpiling. Additionally, patient retention rates were slightly lower than anticipated due to travel burdens for participants residing on the periphery of Los Angeles County.</w:t>
      </w:r>
    </w:p>
    <w:bookmarkEnd w:id="25"/>
    <w:bookmarkStart w:id="26" w:name="vi.-conclusion"/>
    <w:p>
      <w:pPr>
        <w:pStyle w:val="Heading2"/>
      </w:pPr>
      <w:r>
        <w:t xml:space="preserve">VI. Conclusion</w:t>
      </w:r>
    </w:p>
    <w:p>
      <w:pPr>
        <w:pStyle w:val="FirstParagraph"/>
      </w:pPr>
      <w:r>
        <w:t xml:space="preserve">In conclusion, this Lab Report affirms that Immuno-X is safe and effective in reducing inflammatory markers in patients with autoimmune conditions. The Medical Researcher recommends proceeding to Phase III trials, which will involve a larger cohort across multiple states, not just the United States Los Angeles region. This study sets a new standard for clinical research transparency and rigor within the local scientific community.</w:t>
      </w:r>
    </w:p>
    <w:bookmarkEnd w:id="26"/>
    <w:p>
      <w:pPr>
        <w:pStyle w:val="BodyText"/>
      </w:pPr>
      <w:r>
        <w:rPr>
          <w:iCs/>
          <w:i/>
        </w:rPr>
        <w:t xml:space="preserve">This document is confidential and intended solely for review by regulatory bodies and authorized medical personnel. Unauthorized distribution is prohibited.</w:t>
      </w:r>
    </w:p>
    <w:p>
      <w:pPr>
        <w:pStyle w:val="BodyText"/>
      </w:pPr>
      <w:r>
        <w:rPr>
          <w:bCs/>
          <w:b/>
        </w:rPr>
        <w:t xml:space="preserve">Signed:</w:t>
      </w:r>
      <w:r>
        <w:br/>
      </w:r>
      <w:r>
        <w:t xml:space="preserve">Dr. Elena Rodriguez, MD, PhD</w:t>
      </w:r>
      <w:r>
        <w:br/>
      </w:r>
      <w:r>
        <w:t xml:space="preserve">Principal Medical Researcher</w:t>
      </w:r>
      <w:r>
        <w:br/>
      </w:r>
      <w:r>
        <w:t xml:space="preserve">Los Angeles, California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United States Los Angeles</dc:title>
  <dc:creator/>
  <dc:language>en</dc:language>
  <cp:keywords/>
  <dcterms:created xsi:type="dcterms:W3CDTF">2026-07-30T10:09:49Z</dcterms:created>
  <dcterms:modified xsi:type="dcterms:W3CDTF">2026-07-30T10:09:49Z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