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Study</w:t>
      </w:r>
      <w:r>
        <w:t xml:space="preserve"> </w:t>
      </w:r>
      <w:r>
        <w:t xml:space="preserve">in</w:t>
      </w:r>
      <w:r>
        <w:t xml:space="preserve"> </w:t>
      </w:r>
      <w:r>
        <w:t xml:space="preserve">Miami</w:t>
      </w:r>
    </w:p>
    <w:p>
      <w:pPr>
        <w:pStyle w:val="FirstParagraph"/>
      </w:pPr>
      <w:r>
        <w:t xml:space="preserve">```html</w:t>
      </w:r>
    </w:p>
    <w:bookmarkStart w:id="31" w:name="comprehensive-laboratory-report"/>
    <w:p>
      <w:pPr>
        <w:pStyle w:val="Heading1"/>
      </w:pPr>
      <w:r>
        <w:t xml:space="preserve">COMPREHENSIVE LABORATORY REPORT</w:t>
      </w:r>
    </w:p>
    <w:p>
      <w:pPr>
        <w:pStyle w:val="FirstParagraph"/>
      </w:pPr>
      <w:r>
        <w:rPr>
          <w:bCs/>
          <w:b/>
        </w:rPr>
        <w:t xml:space="preserve">Subject:</w:t>
      </w:r>
      <w:r>
        <w:t xml:space="preserve"> </w:t>
      </w:r>
      <w:r>
        <w:t xml:space="preserve">Clinical Evaluation of Novel Therapeutic Agents by a Senior Medical Researcher in United States Miami</w:t>
      </w:r>
    </w:p>
    <w:p>
      <w:pPr>
        <w:pStyle w:val="BodyText"/>
      </w:pPr>
      <w:r>
        <w:t xml:space="preserve">Date: October 26, 2023</w:t>
      </w:r>
      <w:r>
        <w:br/>
      </w:r>
      <w:r>
        <w:t xml:space="preserve">Report ID: MR-MIA-2023-894</w:t>
      </w:r>
      <w:r>
        <w:br/>
      </w:r>
      <w:r>
        <w:t xml:space="preserve">Institutional Affiliation: Center for Advanced Biomedical Sciences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details the comprehensive findings generated from a twelve-month longitudinal study conducted by our designated</w:t>
      </w:r>
      <w:r>
        <w:t xml:space="preserve"> </w:t>
      </w:r>
      <w:r>
        <w:rPr>
          <w:bCs/>
          <w:b/>
        </w:rPr>
        <w:t xml:space="preserve">Medical Researcher</w:t>
      </w:r>
      <w:r>
        <w:t xml:space="preserve">. The primary objective of this investigation was to evaluate the efficacy and safety profiles of emerging immunotherapeutic compounds in treating resistant autoimmune conditions. This pivotal research initiative took place within the vibrant scientific hub of</w:t>
      </w:r>
      <w:r>
        <w:t xml:space="preserve"> </w:t>
      </w:r>
      <w:r>
        <w:rPr>
          <w:bCs/>
          <w:b/>
        </w:rPr>
        <w:t xml:space="preserve">United States Miami</w:t>
      </w:r>
      <w:r>
        <w:t xml:space="preserve">, leveraging the unique demographic diversity and state-of-the-art facilities available in South Florida.</w:t>
      </w:r>
    </w:p>
    <w:p>
      <w:pPr>
        <w:pStyle w:val="BodyText"/>
      </w:pPr>
      <w:r>
        <w:t xml:space="preserve">The results indicate a statistically significant improvement in patient outcomes when utilizing the new compound protocol compared to standard care methods. As a leading</w:t>
      </w:r>
      <w:r>
        <w:t xml:space="preserve"> </w:t>
      </w:r>
      <w:r>
        <w:rPr>
          <w:bCs/>
          <w:b/>
        </w:rPr>
        <w:t xml:space="preserve">Medical Researcher</w:t>
      </w:r>
      <w:r>
        <w:t xml:space="preserve">, I have documented these findings with rigorous adherence to Good Clinical Practice (GCP) standards, ensuring that all data collected within the</w:t>
      </w:r>
      <w:r>
        <w:t xml:space="preserve"> </w:t>
      </w:r>
      <w:r>
        <w:rPr>
          <w:bCs/>
          <w:b/>
        </w:rPr>
        <w:t xml:space="preserve">United States Miami</w:t>
      </w:r>
      <w:r>
        <w:t xml:space="preserve"> </w:t>
      </w:r>
      <w:r>
        <w:t xml:space="preserve">metropolitan area meets federal regulatory requirements.</w:t>
      </w:r>
    </w:p>
    <w:bookmarkEnd w:id="20"/>
    <w:bookmarkStart w:id="21" w:name="introduction-and-background"/>
    <w:p>
      <w:pPr>
        <w:pStyle w:val="Heading2"/>
      </w:pPr>
      <w:r>
        <w:t xml:space="preserve">2. Introduction and Background</w:t>
      </w:r>
    </w:p>
    <w:p>
      <w:pPr>
        <w:pStyle w:val="FirstParagraph"/>
      </w:pPr>
      <w:r>
        <w:t xml:space="preserve">The landscape of medical science in</w:t>
      </w:r>
      <w:r>
        <w:t xml:space="preserve"> </w:t>
      </w:r>
      <w:r>
        <w:rPr>
          <w:bCs/>
          <w:b/>
        </w:rPr>
        <w:t xml:space="preserve">Miami</w:t>
      </w:r>
      <w:r>
        <w:t xml:space="preserve">, United States, has evolved into a critical nexus for global health innovation. Home to numerous specialized clinics and research institutes, the city provides an ideal environment for conducting high-impact clinical trials. This report focuses on the work of our principal</w:t>
      </w:r>
      <w:r>
        <w:t xml:space="preserve"> </w:t>
      </w:r>
      <w:r>
        <w:rPr>
          <w:bCs/>
          <w:b/>
        </w:rPr>
        <w:t xml:space="preserve">Medical Researcher</w:t>
      </w:r>
      <w:r>
        <w:t xml:space="preserve">, whose expertise in immunology has driven this groundbreaking investigation.</w:t>
      </w:r>
    </w:p>
    <w:p>
      <w:pPr>
        <w:pStyle w:val="BodyText"/>
      </w:pPr>
      <w:r>
        <w:t xml:space="preserve">Autoimmune diseases remain a significant burden on healthcare systems across the globe. Traditional treatments often involve broad-spectrum immunosuppressants, which carry severe side effects. The hypothesis driving this study was that targeted therapy, developed under the supervision of our lead</w:t>
      </w:r>
      <w:r>
        <w:t xml:space="preserve"> </w:t>
      </w:r>
      <w:r>
        <w:rPr>
          <w:bCs/>
          <w:b/>
        </w:rPr>
        <w:t xml:space="preserve">Medical Researcher</w:t>
      </w:r>
      <w:r>
        <w:t xml:space="preserve">, could mitigate symptoms without compromising the immune system's ability to fight infections.</w:t>
      </w:r>
    </w:p>
    <w:bookmarkEnd w:id="21"/>
    <w:bookmarkStart w:id="22" w:name="methodology"/>
    <w:p>
      <w:pPr>
        <w:pStyle w:val="Heading2"/>
      </w:pPr>
      <w:r>
        <w:t xml:space="preserve">3. Methodology</w:t>
      </w:r>
    </w:p>
    <w:p>
      <w:pPr>
        <w:pStyle w:val="FirstParagraph"/>
      </w:pPr>
      <w:r>
        <w:t xml:space="preserve">To ensure the integrity of our data, we employed a double-blind, placebo-controlled study design. Participants were recruited from various community health centers across</w:t>
      </w:r>
      <w:r>
        <w:t xml:space="preserve"> </w:t>
      </w:r>
      <w:r>
        <w:rPr>
          <w:bCs/>
          <w:b/>
        </w:rPr>
        <w:t xml:space="preserve">United States Miami</w:t>
      </w:r>
      <w:r>
        <w:t xml:space="preserve">, ensuring a representative sample size that reflects the ethnic and socioeconomic diversity of the region.</w:t>
      </w:r>
    </w:p>
    <w:p>
      <w:pPr>
        <w:numPr>
          <w:ilvl w:val="0"/>
          <w:numId w:val="1001"/>
        </w:numPr>
        <w:pStyle w:val="Compact"/>
      </w:pPr>
      <w:r>
        <w:rPr>
          <w:bCs/>
          <w:b/>
        </w:rPr>
        <w:t xml:space="preserve">Patient Selection:</w:t>
      </w:r>
      <w:r>
        <w:t xml:space="preserve"> </w:t>
      </w:r>
      <w:r>
        <w:t xml:space="preserve">A total of 150 patients diagnosed with moderate-to-severe autoimmune disorders were enrolled. Exclusion criteria were strictly applied to minimize confounding variables.</w:t>
      </w:r>
    </w:p>
    <w:p>
      <w:pPr>
        <w:numPr>
          <w:ilvl w:val="0"/>
          <w:numId w:val="1001"/>
        </w:numPr>
        <w:pStyle w:val="Compact"/>
      </w:pPr>
      <w:r>
        <w:t xml:space="preserve">Data Collection: Our</w:t>
      </w:r>
      <w:r>
        <w:t xml:space="preserve"> </w:t>
      </w:r>
      <w:r>
        <w:rPr>
          <w:bCs/>
          <w:b/>
        </w:rPr>
        <w:t xml:space="preserve">Medical Researcher</w:t>
      </w:r>
      <w:r>
        <w:t xml:space="preserve"> </w:t>
      </w:r>
      <w:r>
        <w:t xml:space="preserve">oversaw the collection of biological samples, including blood plasma and serum, at baseline, week four, week eight, and week twelve intervals.</w:t>
      </w:r>
    </w:p>
    <w:p>
      <w:pPr>
        <w:numPr>
          <w:ilvl w:val="0"/>
          <w:numId w:val="1001"/>
        </w:numPr>
        <w:pStyle w:val="Compact"/>
      </w:pPr>
      <w:r>
        <w:t xml:space="preserve">Ethical Compliance: The study protocol was reviewed and approved by the Institutional Review Board (IRB) in</w:t>
      </w:r>
      <w:r>
        <w:t xml:space="preserve"> </w:t>
      </w:r>
      <w:r>
        <w:rPr>
          <w:bCs/>
          <w:b/>
        </w:rPr>
        <w:t xml:space="preserve">Miami</w:t>
      </w:r>
      <w:r>
        <w:t xml:space="preserve">, ensuring that all patient rights were protected in accordance with United States federal guidelines.</w:t>
      </w:r>
    </w:p>
    <w:p>
      <w:pPr>
        <w:pStyle w:val="FirstParagraph"/>
      </w:pPr>
      <w:r>
        <w:t xml:space="preserve">The role of the</w:t>
      </w:r>
      <w:r>
        <w:t xml:space="preserve"> </w:t>
      </w:r>
      <w:r>
        <w:rPr>
          <w:bCs/>
          <w:b/>
        </w:rPr>
        <w:t xml:space="preserve">Medical Researcher</w:t>
      </w:r>
      <w:r>
        <w:t xml:space="preserve"> </w:t>
      </w:r>
      <w:r>
        <w:t xml:space="preserve">was paramount in maintaining the blinding process and ensuring that data analysis remained unbiased throughout the duration of the trial conducted within our</w:t>
      </w:r>
      <w:r>
        <w:t xml:space="preserve"> </w:t>
      </w:r>
      <w:r>
        <w:rPr>
          <w:bCs/>
          <w:b/>
        </w:rPr>
        <w:t xml:space="preserve">Miami</w:t>
      </w:r>
      <w:r>
        <w:t xml:space="preserve"> </w:t>
      </w:r>
      <w:r>
        <w:t xml:space="preserve">facility.</w:t>
      </w:r>
    </w:p>
    <w:bookmarkEnd w:id="22"/>
    <w:bookmarkStart w:id="24" w:name="results"/>
    <w:p>
      <w:pPr>
        <w:pStyle w:val="Heading2"/>
      </w:pPr>
      <w:r>
        <w:t xml:space="preserve">4. Results</w:t>
      </w:r>
    </w:p>
    <w:p>
      <w:pPr>
        <w:pStyle w:val="FirstParagraph"/>
      </w:pPr>
      <w:r>
        <w:t xml:space="preserve">Metric</w:t>
      </w:r>
    </w:p>
    <w:p>
      <w:pPr>
        <w:pStyle w:val="BodyText"/>
      </w:pPr>
      <w:r>
        <w:t xml:space="preserve">Baseline Average</w:t>
      </w:r>
    </w:p>
    <w:p>
      <w:pPr>
        <w:pStyle w:val="BodyText"/>
      </w:pPr>
      <w:r>
        <w:t xml:space="preserve">Week 12 Average (Treatment Group)</w:t>
      </w:r>
    </w:p>
    <w:p>
      <w:pPr>
        <w:pStyle w:val="BodyText"/>
      </w:pPr>
      <w:r>
        <w:t xml:space="preserve">P-Value</w:t>
      </w:r>
    </w:p>
    <w:p>
      <w:pPr>
        <w:pStyle w:val="BodyText"/>
      </w:pPr>
      <w:r>
        <w:t xml:space="preserve">Metric</w:t>
      </w:r>
    </w:p>
    <w:p>
      <w:pPr>
        <w:pStyle w:val="BodyText"/>
      </w:pPr>
      <w:r>
        <w:t xml:space="preserve">Baseline Average</w:t>
      </w:r>
    </w:p>
    <w:p>
      <w:pPr>
        <w:pStyle w:val="BodyText"/>
      </w:pPr>
      <w:r>
        <w:t xml:space="preserve">Week 12 Average (Treatment Group)</w:t>
      </w:r>
    </w:p>
    <w:p>
      <w:pPr>
        <w:pStyle w:val="BodyText"/>
      </w:pPr>
      <w:r>
        <w:br/>
      </w:r>
      <w:r>
        <w:br/>
      </w:r>
    </w:p>
    <w:bookmarkStart w:id="23" w:name="data-table-clinical-outcome-metrics"/>
    <w:p>
      <w:pPr>
        <w:pStyle w:val="Heading4"/>
      </w:pPr>
      <w:r>
        <w:t xml:space="preserve">Data Table: Clinical Outcome Metrics</w:t>
      </w:r>
    </w:p>
    <w:p>
      <w:pPr>
        <w:pStyle w:val="FirstParagraph"/>
      </w:pPr>
      <w:r>
        <w:t xml:space="preserve">Metric</w:t>
      </w:r>
    </w:p>
    <w:p>
      <w:pPr>
        <w:pStyle w:val="BodyText"/>
      </w:pPr>
      <w:r>
        <w:t xml:space="preserve">Control Group (Placebo)</w:t>
      </w:r>
    </w:p>
    <w:p>
      <w:pPr>
        <w:pStyle w:val="BodyText"/>
      </w:pPr>
      <w:r>
        <w:t xml:space="preserve">Treatment Group (New Compound)</w:t>
      </w:r>
    </w:p>
    <w:p>
      <w:pPr>
        <w:pStyle w:val="BodyText"/>
      </w:pPr>
      <w:r>
        <w:t xml:space="preserve">Pain Reduction Score (0-10)</w:t>
      </w:r>
    </w:p>
    <w:p>
      <w:pPr>
        <w:pStyle w:val="BodyText"/>
      </w:pPr>
      <w:r>
        <w:t xml:space="preserve">-2.1</w:t>
      </w:r>
    </w:p>
    <w:p>
      <w:pPr>
        <w:pStyle w:val="BodyText"/>
      </w:pPr>
      <w:r>
        <w:t xml:space="preserve">-7.4</w:t>
      </w:r>
    </w:p>
    <w:p>
      <w:pPr>
        <w:pStyle w:val="BodyText"/>
      </w:pPr>
      <w:r>
        <w:t xml:space="preserve">The data presented above highlights the superior performance of the treatment regimen overseen by our</w:t>
      </w:r>
      <w:r>
        <w:t xml:space="preserve"> </w:t>
      </w:r>
      <w:r>
        <w:rPr>
          <w:bCs/>
          <w:b/>
        </w:rPr>
        <w:t xml:space="preserve">Medical Researcher</w:t>
      </w:r>
      <w:r>
        <w:t xml:space="preserve">. The reduction in inflammation markers was particularly notable in patients located within the humid climate of</w:t>
      </w:r>
      <w:r>
        <w:t xml:space="preserve"> </w:t>
      </w:r>
      <w:r>
        <w:rPr>
          <w:bCs/>
          <w:b/>
        </w:rPr>
        <w:t xml:space="preserve">Miami</w:t>
      </w:r>
      <w:r>
        <w:t xml:space="preserve">, suggesting a potential environmental interaction with drug metabolism that warrants further investigation.</w:t>
      </w:r>
    </w:p>
    <w:bookmarkEnd w:id="23"/>
    <w:bookmarkEnd w:id="24"/>
    <w:bookmarkStart w:id="30" w:name="discussion"/>
    <w:p>
      <w:pPr>
        <w:pStyle w:val="Heading2"/>
      </w:pPr>
      <w:r>
        <w:t xml:space="preserve">5. Discussion</w:t>
      </w:r>
    </w:p>
    <w:p>
      <w:pPr>
        <w:pStyle w:val="FirstParagraph"/>
      </w:pPr>
      <w:r>
        <w:t xml:space="preserve">The findings from this study strongly support the initial hypothesis. The targeted approach utilized by our</w:t>
      </w:r>
      <w:r>
        <w:t xml:space="preserve"> </w:t>
      </w:r>
      <w:r>
        <w:rPr>
          <w:bCs/>
          <w:b/>
        </w:rPr>
        <w:t xml:space="preserve">Medical Researcher</w:t>
      </w:r>
      <w:r>
        <w:t xml:space="preserve"> </w:t>
      </w:r>
      <w:r>
        <w:t xml:space="preserve">demonstrated a clear advantage over traditional methods. It is important to contextualize these results within the specific demographic of</w:t>
      </w:r>
      <w:r>
        <w:t xml:space="preserve"> </w:t>
      </w:r>
      <w:r>
        <w:rPr>
          <w:bCs/>
          <w:b/>
        </w:rPr>
        <w:t xml:space="preserve">Miami, United States</w:t>
      </w:r>
      <w:r>
        <w:t xml:space="preserve">.</w:t>
      </w:r>
    </w:p>
    <w:bookmarkStart w:id="25" w:name="demographic-considerations-in-miami"/>
    <w:p>
      <w:pPr>
        <w:pStyle w:val="Heading3"/>
      </w:pPr>
      <w:r>
        <w:t xml:space="preserve">5.1 Demographic Considerations in Miami</w:t>
      </w:r>
    </w:p>
    <w:p>
      <w:pPr>
        <w:pStyle w:val="FirstParagraph"/>
      </w:pPr>
      <w:r>
        <w:t xml:space="preserve">Miami's population is uniquely diverse, with significant Hispanic and Caribbean influences that can affect genetic predispositions to certain diseases. Our</w:t>
      </w:r>
      <w:r>
        <w:t xml:space="preserve"> </w:t>
      </w:r>
      <w:r>
        <w:rPr>
          <w:bCs/>
          <w:b/>
        </w:rPr>
        <w:t xml:space="preserve">Medical Researcher</w:t>
      </w:r>
      <w:r>
        <w:t xml:space="preserve"> </w:t>
      </w:r>
      <w:r>
        <w:t xml:space="preserve">noted that sub-group analyses revealed slightly higher efficacy rates among participants of Caribbean descent compared to those of Northern European ancestry. This finding underscores the importance of localized research conducted in places like</w:t>
      </w:r>
      <w:r>
        <w:t xml:space="preserve"> </w:t>
      </w:r>
      <w:r>
        <w:rPr>
          <w:bCs/>
          <w:b/>
        </w:rPr>
        <w:t xml:space="preserve">United States Miami</w:t>
      </w:r>
      <w:r>
        <w:t xml:space="preserve">.</w:t>
      </w:r>
    </w:p>
    <w:bookmarkEnd w:id="25"/>
    <w:bookmarkStart w:id="26" w:name="environmental-factors"/>
    <w:p>
      <w:pPr>
        <w:pStyle w:val="Heading3"/>
      </w:pPr>
      <w:r>
        <w:t xml:space="preserve">5.2 Environmental Factors</w:t>
      </w:r>
    </w:p>
    <w:p>
      <w:pPr>
        <w:pStyle w:val="FirstParagraph"/>
      </w:pPr>
      <w:r>
        <w:t xml:space="preserve">The warm, humid climate of</w:t>
      </w:r>
      <w:r>
        <w:t xml:space="preserve"> </w:t>
      </w:r>
      <w:r>
        <w:rPr>
          <w:bCs/>
          <w:b/>
        </w:rPr>
        <w:t xml:space="preserve">Miami</w:t>
      </w:r>
      <w:r>
        <w:t xml:space="preserve"> </w:t>
      </w:r>
      <w:r>
        <w:t xml:space="preserve">may influence patient compliance and physiological responses. Our team monitored skin temperature and hydration levels closely, as dehydration can skew blood work results. The meticulous attention to detail by the</w:t>
      </w:r>
      <w:r>
        <w:t xml:space="preserve"> </w:t>
      </w:r>
      <w:r>
        <w:rPr>
          <w:bCs/>
          <w:b/>
        </w:rPr>
        <w:t xml:space="preserve">Medical Researcher</w:t>
      </w:r>
      <w:r>
        <w:t xml:space="preserve"> </w:t>
      </w:r>
      <w:r>
        <w:t xml:space="preserve">ensured that environmental variables were accounted for in the final statistical models.</w:t>
      </w:r>
    </w:p>
    <w:bookmarkEnd w:id="26"/>
    <w:bookmarkStart w:id="27" w:name="limitations"/>
    <w:p>
      <w:pPr>
        <w:pStyle w:val="Heading2"/>
      </w:pPr>
      <w:r>
        <w:t xml:space="preserve">6. Limitations</w:t>
      </w:r>
    </w:p>
    <w:p>
      <w:pPr>
        <w:pStyle w:val="FirstParagraph"/>
      </w:pPr>
      <w:r>
        <w:t xml:space="preserve">While this study provides valuable insights, several limitations must be acknowledged. First, the duration of twelve weeks may not be sufficient to determine long-term side effects or sustained efficacy. Second, while</w:t>
      </w:r>
      <w:r>
        <w:t xml:space="preserve"> </w:t>
      </w:r>
      <w:r>
        <w:rPr>
          <w:bCs/>
          <w:b/>
        </w:rPr>
        <w:t xml:space="preserve">Miami</w:t>
      </w:r>
      <w:r>
        <w:t xml:space="preserve"> </w:t>
      </w:r>
      <w:r>
        <w:t xml:space="preserve">offers a diverse patient pool, it does not fully represent the entire United States demographic spectrum. Future studies should expand to other regions to validate these findings.</w:t>
      </w:r>
    </w:p>
    <w:bookmarkEnd w:id="27"/>
    <w:bookmarkStart w:id="28" w:name="conclusion"/>
    <w:p>
      <w:pPr>
        <w:pStyle w:val="Heading2"/>
      </w:pPr>
      <w:r>
        <w:t xml:space="preserve">7. Conclusion</w:t>
      </w:r>
    </w:p>
    <w:p>
      <w:pPr>
        <w:pStyle w:val="FirstParagraph"/>
      </w:pPr>
      <w:r>
        <w:t xml:space="preserve">In conclusion, this laboratory report confirms that the novel therapeutic agent under investigation is both safe and effective for treating resistant autoimmune conditions. The rigorous work of our</w:t>
      </w:r>
      <w:r>
        <w:t xml:space="preserve"> </w:t>
      </w:r>
      <w:r>
        <w:rPr>
          <w:bCs/>
          <w:b/>
        </w:rPr>
        <w:t xml:space="preserve">Medical Researcher</w:t>
      </w:r>
      <w:r>
        <w:t xml:space="preserve">, combined with the robust infrastructure available in</w:t>
      </w:r>
      <w:r>
        <w:t xml:space="preserve"> </w:t>
      </w:r>
      <w:r>
        <w:rPr>
          <w:bCs/>
          <w:b/>
        </w:rPr>
        <w:t xml:space="preserve">Miami, United States</w:t>
      </w:r>
      <w:r>
        <w:t xml:space="preserve">, has yielded data that is ready for regulatory submission.</w:t>
      </w:r>
    </w:p>
    <w:p>
      <w:pPr>
        <w:pStyle w:val="BodyText"/>
      </w:pPr>
      <w:r>
        <w:t xml:space="preserve">We recommend that healthcare providers in</w:t>
      </w:r>
      <w:r>
        <w:t xml:space="preserve"> </w:t>
      </w:r>
      <w:r>
        <w:rPr>
          <w:bCs/>
          <w:b/>
        </w:rPr>
        <w:t xml:space="preserve">Miami</w:t>
      </w:r>
      <w:r>
        <w:t xml:space="preserve"> </w:t>
      </w:r>
      <w:r>
        <w:t xml:space="preserve">and surrounding areas consider this new protocol as a viable alternative to standard care. The success of this project highlights the critical role that dedicated</w:t>
      </w:r>
      <w:r>
        <w:t xml:space="preserve"> </w:t>
      </w:r>
      <w:r>
        <w:rPr>
          <w:bCs/>
          <w:b/>
        </w:rPr>
        <w:t xml:space="preserve">Medical Researcher</w:t>
      </w:r>
      <w:r>
        <w:t xml:space="preserve">s play in advancing healthcare standards within major US cities like Miami.</w:t>
      </w:r>
    </w:p>
    <w:bookmarkEnd w:id="28"/>
    <w:bookmarkStart w:id="29" w:name="references-and-appendices"/>
    <w:p>
      <w:pPr>
        <w:pStyle w:val="Heading2"/>
      </w:pPr>
      <w:r>
        <w:t xml:space="preserve">8. References and Appendices</w:t>
      </w:r>
    </w:p>
    <w:p>
      <w:pPr>
        <w:pStyle w:val="FirstParagraph"/>
      </w:pPr>
      <w:r>
        <w:t xml:space="preserve">All raw data, statistical analysis scripts, and patient consent forms are archived in the secure digital repository maintained by our laboratory in</w:t>
      </w:r>
      <w:r>
        <w:t xml:space="preserve"> </w:t>
      </w:r>
      <w:r>
        <w:rPr>
          <w:bCs/>
          <w:b/>
        </w:rPr>
        <w:t xml:space="preserve">Miami</w:t>
      </w:r>
      <w:r>
        <w:t xml:space="preserve">. Any further inquiries regarding the methodology employed by this</w:t>
      </w:r>
      <w:r>
        <w:t xml:space="preserve"> </w:t>
      </w:r>
      <w:r>
        <w:rPr>
          <w:bCs/>
          <w:b/>
        </w:rPr>
        <w:t xml:space="preserve">Medical Researcher</w:t>
      </w:r>
      <w:r>
        <w:t xml:space="preserve"> </w:t>
      </w:r>
      <w:r>
        <w:t xml:space="preserve">may be directed to our administrative office in</w:t>
      </w:r>
      <w:r>
        <w:t xml:space="preserve"> </w:t>
      </w:r>
      <w:r>
        <w:rPr>
          <w:bCs/>
          <w:b/>
        </w:rPr>
        <w:t xml:space="preserve">United States Miami</w:t>
      </w:r>
      <w:r>
        <w:t xml:space="preserve">.</w:t>
      </w:r>
    </w:p>
    <w:p>
      <w:pPr>
        <w:pStyle w:val="BodyText"/>
      </w:pPr>
      <w:r>
        <w:rPr>
          <w:iCs/>
          <w:i/>
        </w:rPr>
        <w:t xml:space="preserve">Note: This document serves as an official record of the scientific inquiry conducted under strict laboratory protocols.</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Study in Miami</dc:title>
  <dc:creator/>
  <dc:language>en</dc:language>
  <cp:keywords/>
  <dcterms:created xsi:type="dcterms:W3CDTF">2026-07-30T00:35:28Z</dcterms:created>
  <dcterms:modified xsi:type="dcterms:W3CDTF">2026-07-30T00:35:28Z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