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Lab</w:t>
      </w:r>
      <w:r>
        <w:t xml:space="preserve"> </w:t>
      </w:r>
      <w:r>
        <w:t xml:space="preserve">Report:</w:t>
      </w:r>
      <w:r>
        <w:t xml:space="preserve"> </w:t>
      </w:r>
      <w:r>
        <w:t xml:space="preserve">Ho</w:t>
      </w:r>
      <w:r>
        <w:t xml:space="preserve"> </w:t>
      </w:r>
      <w:r>
        <w:t xml:space="preserve">Chi</w:t>
      </w:r>
      <w:r>
        <w:t xml:space="preserve"> </w:t>
      </w:r>
      <w:r>
        <w:t xml:space="preserve">Minh</w:t>
      </w:r>
      <w:r>
        <w:t xml:space="preserve"> </w:t>
      </w:r>
      <w:r>
        <w:t xml:space="preserve">City</w:t>
      </w:r>
    </w:p>
    <w:bookmarkStart w:id="20" w:name="X6d67e642053e873cb024c8e41046571ddb211ae"/>
    <w:p>
      <w:pPr>
        <w:pStyle w:val="Heading1"/>
      </w:pPr>
      <w:r>
        <w:t xml:space="preserve">Laboratory Report on Clinical and Epidemiological Analysis</w:t>
      </w:r>
    </w:p>
    <w:p>
      <w:pPr>
        <w:pStyle w:val="FirstParagraph"/>
      </w:pPr>
      <w:r>
        <w:rPr>
          <w:bCs/>
          <w:b/>
        </w:rPr>
        <w:t xml:space="preserve">Institution:</w:t>
      </w:r>
      <w:r>
        <w:t xml:space="preserve"> </w:t>
      </w:r>
      <w:r>
        <w:t xml:space="preserve">Center for Tropical Medicine and Public Health</w:t>
      </w:r>
    </w:p>
    <w:p>
      <w:pPr>
        <w:pStyle w:val="BodyText"/>
      </w:pPr>
      <w:r>
        <w:rPr>
          <w:bCs/>
          <w:b/>
        </w:rPr>
        <w:t xml:space="preserve">District:</w:t>
      </w:r>
      <w:r>
        <w:t xml:space="preserve"> </w:t>
      </w:r>
      <w:r>
        <w:t xml:space="preserve">District 1, Ho Chi Minh City</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 of Report:</w:t>
            </w:r>
          </w:p>
        </w:tc>
        <w:tc>
          <w:tcPr/>
          <w:p>
            <w:pPr>
              <w:pStyle w:val="Compact"/>
              <w:jc w:val="left"/>
            </w:pPr>
            <w:r>
              <w:t xml:space="preserve">October 24, 2023</w:t>
            </w:r>
          </w:p>
        </w:tc>
      </w:tr>
      <w:tr>
        <w:tc>
          <w:tcPr/>
          <w:p>
            <w:pPr>
              <w:pStyle w:val="Compact"/>
              <w:jc w:val="left"/>
            </w:pPr>
            <w:r>
              <w:rPr>
                <w:bCs/>
                <w:b/>
              </w:rPr>
              <w:t xml:space="preserve">ID Number:</w:t>
            </w:r>
          </w:p>
        </w:tc>
        <w:tc>
          <w:tcPr/>
          <w:p>
            <w:pPr>
              <w:pStyle w:val="Compact"/>
              <w:jc w:val="left"/>
            </w:pPr>
            <w:r>
              <w:t xml:space="preserve">VN-HCMC-LAB-2023-894</w:t>
            </w:r>
          </w:p>
        </w:tc>
      </w:tr>
      <w:tr>
        <w:tc>
          <w:tcPr/>
          <w:p>
            <w:pPr>
              <w:pStyle w:val="Compact"/>
              <w:jc w:val="left"/>
            </w:pPr>
            <w:r>
              <w:rPr>
                <w:bCs/>
                <w:b/>
              </w:rPr>
              <w:t xml:space="preserve">Status:</w:t>
            </w:r>
          </w:p>
        </w:tc>
        <w:tc>
          <w:tcPr/>
          <w:p>
            <w:pPr>
              <w:pStyle w:val="Compact"/>
              <w:jc w:val="left"/>
            </w:pPr>
            <w:r>
              <w:t xml:space="preserve">Preliminary Analysis / Confidential</w:t>
            </w:r>
          </w:p>
        </w:tc>
      </w:tr>
    </w:tbl>
    <w:p>
      <w:pPr>
        <w:pStyle w:val="BodyText"/>
      </w:pPr>
      <w:r>
        <w:t xml:space="preserve">Author:</w:t>
      </w:r>
    </w:p>
    <w:p>
      <w:pPr>
        <w:pStyle w:val="BodyText"/>
      </w:pPr>
      <w:r>
        <w:t xml:space="preserve">The undersigned Medical Researcher, affiliated with the Department of Infectious Disease Control and Environmental Health Epidemiology in Vietnam Ho Chi Minh City.</w:t>
      </w:r>
    </w:p>
    <w:bookmarkStart w:id="21" w:name="executive-summary"/>
    <w:p>
      <w:pPr>
        <w:pStyle w:val="Heading2"/>
      </w:pPr>
      <w:r>
        <w:t xml:space="preserve">1.0 Executive Summary</w:t>
      </w:r>
    </w:p>
    <w:p>
      <w:pPr>
        <w:pStyle w:val="FirstParagraph"/>
      </w:pPr>
      <w:r>
        <w:t xml:space="preserve">This document serves as a comprehensive Laboratory Report detailing the findings of a recent epidemiological study conducted within the bustling urban landscape of Vietnam Ho Chi Minh City. The primary objective of this investigation was to assess the prevalence and antibiotic resistance patterns of Enterobacteriaceae species in both community-acquired and hospital-associated urinary tract infections (UTIs) across three major medical centers in Districts 1, 3, and Binh Thanh.</w:t>
      </w:r>
    </w:p>
    <w:p>
      <w:pPr>
        <w:pStyle w:val="BodyText"/>
      </w:pPr>
      <w:r>
        <w:t xml:space="preserve">As a Medical Researcher operating within Vietnam Ho Chi Minh City, it is imperative to contextualize the data within the unique environmental and socio-economic factors that define this metropolis. With a population exceeding eight million residents and a high density of commercial activity, Ho Chi Minh City presents distinct challenges regarding water sanitation, antibiotic stewardship, and infectious disease transmission. This report aims to bridge the gap between laboratory diagnostics and public health policy recommendations specific to this region.</w:t>
      </w:r>
    </w:p>
    <w:bookmarkEnd w:id="21"/>
    <w:bookmarkStart w:id="22" w:name="introduction"/>
    <w:p>
      <w:pPr>
        <w:pStyle w:val="Heading2"/>
      </w:pPr>
      <w:r>
        <w:t xml:space="preserve">2.0 Introduction</w:t>
      </w:r>
    </w:p>
    <w:p>
      <w:pPr>
        <w:pStyle w:val="FirstParagraph"/>
      </w:pPr>
      <w:r>
        <w:t xml:space="preserve">The rapid urbanization of Vietnam Ho Chi Minh City has led to significant changes in public health dynamics. While economic growth has improved healthcare infrastructure, it has also introduced complex variables into clinical research settings. As a dedicated Medical Researcher, I have observed an alarming trend in the resistance profiles of common bacterial pathogens. These pathogens are not only affecting patient outcomes but are also straining the limited resources of local hospitals.</w:t>
      </w:r>
    </w:p>
    <w:p>
      <w:pPr>
        <w:pStyle w:val="BodyText"/>
      </w:pPr>
      <w:r>
        <w:t xml:space="preserve">The purpose of this Laboratory Report is threefold: first, to document the baseline susceptibility patterns of target organisms; second, to identify potential sources of cross-contamination in clinical settings within Vietnam Ho Chi Minh City; and third, to propose evidence-based interventions for antibiotic stewardship. The data presented herein is derived from a six-month longitudinal study involving 500 patient samples collected between January and June 2023.</w:t>
      </w:r>
    </w:p>
    <w:bookmarkEnd w:id="22"/>
    <w:bookmarkStart w:id="23" w:name="methodology"/>
    <w:p>
      <w:pPr>
        <w:pStyle w:val="Heading2"/>
      </w:pPr>
      <w:r>
        <w:t xml:space="preserve">3.0 Methodology</w:t>
      </w:r>
    </w:p>
    <w:p>
      <w:pPr>
        <w:pStyle w:val="FirstParagraph"/>
      </w:pPr>
      <w:r>
        <w:rPr>
          <w:bCs/>
          <w:b/>
        </w:rPr>
        <w:t xml:space="preserve">3.1 Sample Collection</w:t>
      </w:r>
      <w:r>
        <w:br/>
      </w:r>
      <w:r>
        <w:t xml:space="preserve">Urine samples were collected from adult patients presenting with symptomatic UTIs at three tertiary hospitals in Vietnam Ho Chi Minh City. Strict aseptic techniques were employed to minimize contamination. Each sample was coded according to the patient’s district of residence to allow for geographical analysis.</w:t>
      </w:r>
    </w:p>
    <w:p>
      <w:pPr>
        <w:pStyle w:val="BodyText"/>
      </w:pPr>
      <w:r>
        <w:rPr>
          <w:bCs/>
          <w:b/>
        </w:rPr>
        <w:t xml:space="preserve">3.2 Laboratory Procedures</w:t>
      </w:r>
      <w:r>
        <w:br/>
      </w:r>
      <w:r>
        <w:t xml:space="preserve">All samples were processed within two hours of collection using standard microbiological protocols recommended by the Clinical and Laboratory Standards Institute (CLSI). Bacterial isolation was performed on MacConkey agar and Blood agar plates. Identification of bacterial species was conducted using VITEK 2 automated systems, followed by confirmation via MALDI-TOF mass spectrometry.</w:t>
      </w:r>
    </w:p>
    <w:p>
      <w:pPr>
        <w:pStyle w:val="BodyText"/>
      </w:pPr>
      <w:r>
        <w:rPr>
          <w:bCs/>
          <w:b/>
        </w:rPr>
        <w:t xml:space="preserve">3.3 Antimicrobial Susceptibility Testing (AST)</w:t>
      </w:r>
      <w:r>
        <w:br/>
      </w:r>
      <w:r>
        <w:t xml:space="preserve">AST was performed using the disk diffusion method and broth microdilution for minimum inhibitory concentration (MIC) determination. The panel of antibiotics tested included beta-lactams, fluoroquinolones, aminoglycosides, and carbapenems. Quality control strains</w:t>
      </w:r>
      <w:r>
        <w:t xml:space="preserve"> </w:t>
      </w:r>
      <w:r>
        <w:rPr>
          <w:iCs/>
          <w:i/>
        </w:rPr>
        <w:t xml:space="preserve">E. coli</w:t>
      </w:r>
      <w:r>
        <w:t xml:space="preserve"> </w:t>
      </w:r>
      <w:r>
        <w:t xml:space="preserve">ATCC 25922 and</w:t>
      </w:r>
      <w:r>
        <w:t xml:space="preserve"> </w:t>
      </w:r>
      <w:r>
        <w:rPr>
          <w:iCs/>
          <w:i/>
        </w:rPr>
        <w:t xml:space="preserve">Pseudomonas aeruginosa</w:t>
      </w:r>
      <w:r>
        <w:t xml:space="preserve"> </w:t>
      </w:r>
      <w:r>
        <w:t xml:space="preserve">ATCC 27853 were used for every batch to ensure accuracy.</w:t>
      </w:r>
    </w:p>
    <w:p>
      <w:pPr>
        <w:pStyle w:val="BodyText"/>
      </w:pPr>
      <w:r>
        <w:rPr>
          <w:bCs/>
          <w:b/>
        </w:rPr>
        <w:t xml:space="preserve">3.4 Data Analysis</w:t>
      </w:r>
      <w:r>
        <w:br/>
      </w:r>
      <w:r>
        <w:t xml:space="preserve">Statistical analysis was performed using SPSS version 26.0. Chi-square tests were used to compare resistance rates across different districts, while logistic regression was employed to identify independent risk factors for multidrug-resistant (MDR) infections.</w:t>
      </w:r>
    </w:p>
    <w:bookmarkEnd w:id="23"/>
    <w:bookmarkStart w:id="25" w:name="results"/>
    <w:p>
      <w:pPr>
        <w:pStyle w:val="Heading2"/>
      </w:pPr>
      <w:r>
        <w:t xml:space="preserve">4.0 Results</w:t>
      </w:r>
    </w:p>
    <w:p>
      <w:pPr>
        <w:pStyle w:val="FirstParagraph"/>
      </w:pPr>
      <w:r>
        <w:t xml:space="preserve">A total of 500 urine samples were analyzed. Bacterial growth was observed in 412 samples, yielding a positive culture rate of 82.4%. The most prevalent pathogen identified was</w:t>
      </w:r>
      <w:r>
        <w:t xml:space="preserve"> </w:t>
      </w:r>
      <w:r>
        <w:rPr>
          <w:iCs/>
          <w:i/>
        </w:rPr>
        <w:t xml:space="preserve">Escherichia coli</w:t>
      </w:r>
      <w:r>
        <w:t xml:space="preserve">, accounting for 65% of all isolates, followed by</w:t>
      </w:r>
      <w:r>
        <w:t xml:space="preserve"> </w:t>
      </w:r>
      <w:r>
        <w:rPr>
          <w:iCs/>
          <w:i/>
        </w:rPr>
        <w:t xml:space="preserve">Klebsiella pneumoniae</w:t>
      </w:r>
      <w:r>
        <w:t xml:space="preserve"> </w:t>
      </w:r>
      <w:r>
        <w:t xml:space="preserve">at 18%, and</w:t>
      </w:r>
      <w:r>
        <w:t xml:space="preserve"> </w:t>
      </w:r>
      <w:r>
        <w:rPr>
          <w:iCs/>
          <w:i/>
        </w:rPr>
        <w:t xml:space="preserve">Enterococcus faecalis</w:t>
      </w:r>
      <w:r>
        <w:t xml:space="preserve"> </w:t>
      </w:r>
      <w:r>
        <w:t xml:space="preserve">at 9%. The remaining isolates consisted of mixed flora or less common Gram-positive organisms.</w:t>
      </w:r>
    </w:p>
    <w:p>
      <w:pPr>
        <w:pStyle w:val="BodyText"/>
      </w:pPr>
      <w:r>
        <w:t xml:space="preserve">Bacterial Species</w:t>
      </w:r>
    </w:p>
    <w:p>
      <w:pPr>
        <w:pStyle w:val="BodyText"/>
      </w:pPr>
      <w:r>
        <w:t xml:space="preserve">Total Isolates (n)</w:t>
      </w:r>
    </w:p>
    <w:p>
      <w:pPr>
        <w:pStyle w:val="BodyText"/>
      </w:pPr>
      <w:r>
        <w:t xml:space="preserve">% Resistance to Ciprofloxacin</w:t>
      </w:r>
    </w:p>
    <w:p>
      <w:pPr>
        <w:pStyle w:val="BodyText"/>
      </w:pPr>
      <w:r>
        <w:t xml:space="preserve">% Resistance to Meropenem</w:t>
      </w:r>
    </w:p>
    <w:p>
      <w:pPr>
        <w:pStyle w:val="BodyText"/>
      </w:pPr>
      <w:r>
        <w:rPr>
          <w:iCs/>
          <w:i/>
        </w:rPr>
        <w:t xml:space="preserve">E. coli</w:t>
      </w:r>
    </w:p>
    <w:p>
      <w:pPr>
        <w:pStyle w:val="BodyText"/>
      </w:pPr>
      <w:r>
        <w:t xml:space="preserve">268 (65%)</w:t>
      </w:r>
    </w:p>
    <w:p>
      <w:pPr>
        <w:pStyle w:val="BodyText"/>
      </w:pPr>
      <w:r>
        <w:t xml:space="preserve">42.5%</w:t>
      </w:r>
    </w:p>
    <w:p>
      <w:pPr>
        <w:pStyle w:val="BodyText"/>
      </w:pPr>
      <w:r>
        <w:t xml:space="preserve">1.1%</w:t>
      </w:r>
    </w:p>
    <w:p>
      <w:pPr>
        <w:pStyle w:val="BodyText"/>
      </w:pPr>
      <w:r>
        <w:rPr>
          <w:iCs/>
          <w:i/>
        </w:rPr>
        <w:t xml:space="preserve">K. pneumoniae</w:t>
      </w:r>
    </w:p>
    <w:p>
      <w:pPr>
        <w:pStyle w:val="BodyText"/>
      </w:pPr>
      <w:r>
        <w:t xml:space="preserve">94 (18%)</w:t>
      </w:r>
    </w:p>
    <w:p>
      <w:pPr>
        <w:pStyle w:val="BodyText"/>
      </w:pPr>
      <w:r>
        <w:t xml:space="preserve">38.0%</w:t>
      </w:r>
    </w:p>
    <w:p>
      <w:pPr>
        <w:pStyle w:val="BodyText"/>
      </w:pPr>
      <w:r>
        <w:t xml:space="preserve">5.3%</w:t>
      </w:r>
    </w:p>
    <w:p>
      <w:pPr>
        <w:pStyle w:val="BodyText"/>
      </w:pPr>
      <w:r>
        <w:rPr>
          <w:iCs/>
          <w:i/>
        </w:rPr>
        <w:t xml:space="preserve">E. faecalis</w:t>
      </w:r>
    </w:p>
    <w:p>
      <w:pPr>
        <w:pStyle w:val="BodyText"/>
      </w:pPr>
      <w:r>
        <w:t xml:space="preserve">47 (9%)</w:t>
      </w:r>
    </w:p>
    <w:p>
      <w:pPr>
        <w:pStyle w:val="BodyText"/>
      </w:pPr>
      <w:r>
        <w:t xml:space="preserve">N/A</w:t>
      </w:r>
    </w:p>
    <w:p>
      <w:pPr>
        <w:pStyle w:val="BodyText"/>
      </w:pPr>
      <w:r>
        <w:rPr>
          <w:iCs/>
          <w:i/>
        </w:rPr>
        <w:t xml:space="preserve">Note: The table above highlights critical resistance metrics. Notably, the rate of resistance to fluoroquinolones is exceptionally high among both E. coli and K. pneumoniae isolates in Vietnam Ho Chi Minh City.</w:t>
      </w:r>
    </w:p>
    <w:bookmarkStart w:id="24" w:name="geographical-variation"/>
    <w:p>
      <w:pPr>
        <w:pStyle w:val="Heading3"/>
      </w:pPr>
      <w:r>
        <w:t xml:space="preserve">4.1 Geographical Variation</w:t>
      </w:r>
    </w:p>
    <w:p>
      <w:pPr>
        <w:pStyle w:val="FirstParagraph"/>
      </w:pPr>
      <w:r>
        <w:t xml:space="preserve">The Laboratory Report indicates a statistically significant difference in resistance patterns between District 1 and the peripheral districts such as Binh Thanh. Samples from District 1 showed a higher prevalence of Extended-Spectrum Beta-Lactamase (ESBL) producing organisms compared to other regions. This correlation suggests that high-density urban living, coupled with potential environmental contamination from industrial runoff, may play a role in the dissemination of resistance genes.</w:t>
      </w:r>
    </w:p>
    <w:bookmarkEnd w:id="24"/>
    <w:bookmarkEnd w:id="25"/>
    <w:bookmarkStart w:id="26" w:name="discussion"/>
    <w:p>
      <w:pPr>
        <w:pStyle w:val="Heading2"/>
      </w:pPr>
      <w:r>
        <w:t xml:space="preserve">5.0 Discussion</w:t>
      </w:r>
    </w:p>
    <w:p>
      <w:pPr>
        <w:pStyle w:val="FirstParagraph"/>
      </w:pPr>
      <w:r>
        <w:t xml:space="preserve">The findings presented in this Laboratory Report underscore a critical public health crisis within Vietnam Ho Chi Minh City. The high rate of fluoroquinolone resistance (42.5% for E. coli) is concerning, as these agents are often the first line of defense for outpatient UTI treatment. This trend is likely driven by the unrestricted over-the-counter sale of antibiotics in local pharmacies, a common practice in many parts of Vietnam.</w:t>
      </w:r>
    </w:p>
    <w:p>
      <w:pPr>
        <w:pStyle w:val="BodyText"/>
      </w:pPr>
      <w:r>
        <w:t xml:space="preserve">As a Medical Researcher, I posit that the unique infrastructure challenges of Ho Chi Minh City exacerbate this issue. Inadequate wastewater management systems in certain densely populated wards may contribute to the environmental reservoir of resistant bacteria. Patients residing near these areas showed higher colonization rates with MDR strains, suggesting an ecological link between urban sanitation and clinical resistance.</w:t>
      </w:r>
    </w:p>
    <w:p>
      <w:pPr>
        <w:pStyle w:val="BodyText"/>
      </w:pPr>
      <w:r>
        <w:t xml:space="preserve">Furthermore, the low but non-negligible carbapenem resistance (5.3% for K. pneumoniae) indicates that Vietnam Ho Chi Minh City is approaching the threshold of pan-drug-resistant infections. If left unchecked, this could lead to "superbugs" that are untreatable with current therapeutic options, resulting in significantly higher mortality rates and healthcare costs.</w:t>
      </w:r>
    </w:p>
    <w:bookmarkEnd w:id="26"/>
    <w:bookmarkStart w:id="27" w:name="conclusion-and-recommendations"/>
    <w:p>
      <w:pPr>
        <w:pStyle w:val="Heading2"/>
      </w:pPr>
      <w:r>
        <w:t xml:space="preserve">6.0 Conclusion and Recommendations</w:t>
      </w:r>
    </w:p>
    <w:p>
      <w:pPr>
        <w:pStyle w:val="FirstParagraph"/>
      </w:pPr>
      <w:r>
        <w:t xml:space="preserve">In conclusion, this Laboratory Report provides compelling evidence of escalating antibiotic resistance among common uropathogens in Vietnam Ho Chi Minh City. The data confirms that the city is a hotspot for multidrug-resistant bacteria, driven by a combination of clinical misuse and environmental factors.</w:t>
      </w:r>
    </w:p>
    <w:p>
      <w:pPr>
        <w:pStyle w:val="BodyText"/>
      </w:pPr>
      <w:r>
        <w:t xml:space="preserve">To address these challenges, the following recommendations are proposed:</w:t>
      </w:r>
    </w:p>
    <w:p>
      <w:pPr>
        <w:numPr>
          <w:ilvl w:val="0"/>
          <w:numId w:val="1001"/>
        </w:numPr>
        <w:pStyle w:val="Compact"/>
      </w:pPr>
      <w:r>
        <w:rPr>
          <w:bCs/>
          <w:b/>
        </w:rPr>
        <w:t xml:space="preserve">Regulatory Reform:</w:t>
      </w:r>
      <w:r>
        <w:t xml:space="preserve"> </w:t>
      </w:r>
      <w:r>
        <w:t xml:space="preserve">Strict enforcement of laws prohibiting the over-the-counter sale of antibiotics in Vietnam Ho Chi Minh City. Pharmacists must require a valid prescription for all antimicrobial agents.</w:t>
      </w:r>
    </w:p>
    <w:p>
      <w:pPr>
        <w:numPr>
          <w:ilvl w:val="0"/>
          <w:numId w:val="1001"/>
        </w:numPr>
        <w:pStyle w:val="Compact"/>
      </w:pPr>
      <w:r>
        <w:rPr>
          <w:bCs/>
          <w:b/>
        </w:rPr>
        <w:t xml:space="preserve">Awareness Campaigns:</w:t>
      </w:r>
      <w:r>
        <w:t xml:space="preserve"> </w:t>
      </w:r>
      <w:r>
        <w:t xml:space="preserve">Implementation of public health education programs targeting both healthcare providers and the general population regarding the dangers of antibiotic misuse.</w:t>
      </w:r>
    </w:p>
    <w:p>
      <w:pPr>
        <w:numPr>
          <w:ilvl w:val="0"/>
          <w:numId w:val="1001"/>
        </w:numPr>
        <w:pStyle w:val="Compact"/>
      </w:pPr>
      <w:r>
        <w:rPr>
          <w:bCs/>
          <w:b/>
        </w:rPr>
        <w:t xml:space="preserve">Enhanced Surveillance:</w:t>
      </w:r>
      <w:r>
        <w:t xml:space="preserve"> </w:t>
      </w:r>
      <w:r>
        <w:t xml:space="preserve">Establishment of a centralized laboratory network in Vietnam Ho Chi Minh City to monitor resistance trends in real-time, allowing for rapid response to emerging threats.</w:t>
      </w:r>
    </w:p>
    <w:p>
      <w:pPr>
        <w:numPr>
          <w:ilvl w:val="0"/>
          <w:numId w:val="1001"/>
        </w:numPr>
        <w:pStyle w:val="Compact"/>
      </w:pPr>
      <w:r>
        <w:rPr>
          <w:bCs/>
          <w:b/>
        </w:rPr>
        <w:t xml:space="preserve">Infection Control:</w:t>
      </w:r>
      <w:r>
        <w:t xml:space="preserve"> </w:t>
      </w:r>
      <w:r>
        <w:t xml:space="preserve">Strengthening hospital infection control protocols, particularly regarding hand hygiene and environmental cleaning, to prevent nosocomial spread of MDR organisms.</w:t>
      </w:r>
    </w:p>
    <w:p>
      <w:pPr>
        <w:pStyle w:val="FirstParagraph"/>
      </w:pPr>
      <w:r>
        <w:t xml:space="preserve">This Medical Researcher emphasizes that immediate action is required. The health security of Vietnam Ho Chi Minh City depends on the collaborative efforts of government officials, healthcare professionals, and the public to mitigate the rising tide of antimicrobial resistance.</w:t>
      </w:r>
    </w:p>
    <w:p>
      <w:pPr>
        <w:pStyle w:val="BodyText"/>
      </w:pPr>
      <w:r>
        <w:rPr>
          <w:bCs/>
          <w:b/>
        </w:rPr>
        <w:t xml:space="preserve">Signed:</w:t>
      </w:r>
      <w:r>
        <w:t xml:space="preserve"> </w:t>
      </w:r>
      <w:r>
        <w:t xml:space="preserve">Dr. Nguyen Van A (Medical Researcher ID: 8942-B)</w:t>
      </w:r>
    </w:p>
    <w:p>
      <w:pPr>
        <w:pStyle w:val="BodyText"/>
      </w:pPr>
      <w:r>
        <w:rPr>
          <w:bCs/>
          <w:b/>
        </w:rPr>
        <w:t xml:space="preserve">Date:</w:t>
      </w:r>
      <w:r>
        <w:t xml:space="preserve"> </w:t>
      </w:r>
      <w:r>
        <w:t xml:space="preserve">October 24, 2023</w:t>
      </w:r>
    </w:p>
    <w:p>
      <w:pPr>
        <w:pStyle w:val="BodyText"/>
      </w:pPr>
      <w:r>
        <w:rPr>
          <w:iCs/>
          <w:i/>
        </w:rPr>
        <w:t xml:space="preserve">This Laboratory Report was generated for internal review and strategic planning purposes within the context of Vietnam Ho Chi Minh City public health initiatives.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Lab Report: Ho Chi Minh City</dc:title>
  <dc:creator/>
  <dc:language>en</dc:language>
  <cp:keywords/>
  <dcterms:created xsi:type="dcterms:W3CDTF">2026-07-30T11:52:10Z</dcterms:created>
  <dcterms:modified xsi:type="dcterms:W3CDTF">2026-07-30T11:52:10Z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