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Competency</w:t>
      </w:r>
      <w:r>
        <w:t xml:space="preserve"> </w:t>
      </w:r>
      <w:r>
        <w:t xml:space="preserve">Lab</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c0f610137bba19572c9df582492a734b341af49"/>
    <w:p>
      <w:pPr>
        <w:pStyle w:val="Heading1"/>
      </w:pPr>
      <w:r>
        <w:t xml:space="preserve">Professional Competency Lab Report: Midwifery Practice in New Zealand Auckland</w:t>
      </w:r>
    </w:p>
    <w:bookmarkStart w:id="21" w:name="date"/>
    <w:p>
      <w:pPr>
        <w:pStyle w:val="Heading2"/>
      </w:pPr>
      <w:r>
        <w:rPr>
          <w:bCs/>
          <w:b/>
        </w:rPr>
        <w:t xml:space="preserve">Date:</w:t>
      </w:r>
    </w:p>
    <w:p>
      <w:pPr>
        <w:pStyle w:val="FirstParagraph"/>
      </w:pPr>
      <w:r>
        <w:t xml:space="preserve">October 24, 2023</w:t>
      </w:r>
    </w:p>
    <w:bookmarkStart w:id="20" w:name="subject"/>
    <w:p>
      <w:pPr>
        <w:pStyle w:val="Heading3"/>
      </w:pPr>
      <w:r>
        <w:rPr>
          <w:bCs/>
          <w:b/>
        </w:rPr>
        <w:t xml:space="preserve">Subject:</w:t>
      </w:r>
    </w:p>
    <w:p>
      <w:pPr>
        <w:pStyle w:val="FirstParagraph"/>
      </w:pPr>
      <w:r>
        <w:t xml:space="preserve">Analytical Review of Clinical Protocols, Cultural Safety, and Community Engagement in Midwifery Services within the Auckland Region of New Zealand.</w:t>
      </w:r>
    </w:p>
    <w:bookmarkEnd w:id="20"/>
    <w:p>
      <w:r>
        <w:pict>
          <v:rect style="width:0;height:1.5pt" o:hralign="center" o:hrstd="t" o:hr="t"/>
        </w:pict>
      </w:r>
    </w:p>
    <w:bookmarkEnd w:id="21"/>
    <w:bookmarkStart w:id="22" w:name="introduction-and-scope"/>
    <w:p>
      <w:pPr>
        <w:pStyle w:val="Heading2"/>
      </w:pPr>
      <w:r>
        <w:t xml:space="preserve">1.0 Introduction and Scope</w:t>
      </w:r>
    </w:p>
    <w:p>
      <w:pPr>
        <w:pStyle w:val="FirstParagraph"/>
      </w:pPr>
      <w:r>
        <w:t xml:space="preserve">This comprehensive Lab Report serves as a critical evaluation of the current standards, challenges, and opportunities inherent in midwifery practice within the specific geographical and demographic context of New Zealand Auckland. As a global leader in maternal health outcomes, New Zealand presents unique complexities due to its bicultural foundation established by Te Tiriti o Waitangi. This report focuses specifically on Auckland, the country’s largest urban center with one of the most diverse populations in the world.</w:t>
      </w:r>
    </w:p>
    <w:p>
      <w:pPr>
        <w:pStyle w:val="BodyText"/>
      </w:pPr>
      <w:r>
        <w:t xml:space="preserve">The primary objective of this document is to assess how a professional Midwife must adapt clinical skills, cultural competencies, and collaborative frameworks to meet the diverse needs of mothers and whānau (families) in Auckland. By treating midwifery practice as a dynamic "lab" environment where evidence-based medicine intersects with socio-cultural realities, we can identify best practices for improving maternal and newborn health outcomes.</w:t>
      </w:r>
    </w:p>
    <w:bookmarkEnd w:id="22"/>
    <w:bookmarkStart w:id="23" w:name="Xd4b1c85bc201aa1c92b37391e64dd8b3d39a996"/>
    <w:p>
      <w:pPr>
        <w:pStyle w:val="Heading2"/>
      </w:pPr>
      <w:r>
        <w:t xml:space="preserve">2.0 The Auckland Context: Demographic Diversity</w:t>
      </w:r>
    </w:p>
    <w:p>
      <w:pPr>
        <w:pStyle w:val="FirstParagraph"/>
      </w:pPr>
      <w:r>
        <w:t xml:space="preserve">Auckland is not merely a city; it is a microcosm of global migration. With significant populations from Pasifika, Māori, Asian, and European backgrounds, the role of the Midwife in Auckland requires a high degree of cultural agility. The report highlights that standard protocols often fail when applied without modification to these diverse groups.</w:t>
      </w:r>
    </w:p>
    <w:p>
      <w:pPr>
        <w:pStyle w:val="BodyText"/>
      </w:pPr>
      <w:r>
        <w:rPr>
          <w:bCs/>
          <w:b/>
        </w:rPr>
        <w:t xml:space="preserve">Key Observation:</w:t>
      </w:r>
      <w:r>
        <w:t xml:space="preserve"> </w:t>
      </w:r>
      <w:r>
        <w:t xml:space="preserve">In Auckland’s "Southern Cross" health region, disparities in health outcomes persist between Māori and non-Māori populations. A Midwife must be acutely aware of the social determinants of health, including housing instability, food insecurity, and access to transport, which disproportionately affect vulnerable groups in this urban setting.</w:t>
      </w:r>
    </w:p>
    <w:bookmarkEnd w:id="23"/>
    <w:bookmarkStart w:id="24" w:name="cultural-safety-and-te-tiriti-o-waitangi"/>
    <w:p>
      <w:pPr>
        <w:pStyle w:val="Heading2"/>
      </w:pPr>
      <w:r>
        <w:t xml:space="preserve">3.0 Cultural Safety and Te Tiriti o Waitangi</w:t>
      </w:r>
    </w:p>
    <w:p>
      <w:pPr>
        <w:pStyle w:val="FirstParagraph"/>
      </w:pPr>
      <w:r>
        <w:t xml:space="preserve">Central to any Lab Report on Midwifery in New Zealand is the principle of Cultural Safety. For a Midwife practicing in Auckland, this goes beyond mere cultural awareness; it requires active partnership with iwi (tribes) and hapū (sub-tribs). The report analyzes how midwives can operationalize Te Tiriti o Waitangi principles:</w:t>
      </w:r>
    </w:p>
    <w:p>
      <w:pPr>
        <w:numPr>
          <w:ilvl w:val="0"/>
          <w:numId w:val="1001"/>
        </w:numPr>
        <w:pStyle w:val="Compact"/>
      </w:pPr>
      <w:r>
        <w:rPr>
          <w:bCs/>
          <w:b/>
        </w:rPr>
        <w:t xml:space="preserve">Partnership:</w:t>
      </w:r>
      <w:r>
        <w:t xml:space="preserve"> </w:t>
      </w:r>
      <w:r>
        <w:t xml:space="preserve">Collaborating with Māori health providers and whānau to co-design care plans.</w:t>
      </w:r>
    </w:p>
    <w:p>
      <w:pPr>
        <w:numPr>
          <w:ilvl w:val="0"/>
          <w:numId w:val="1001"/>
        </w:numPr>
      </w:pPr>
      <w:r>
        <w:rPr>
          <w:bCs/>
          <w:b/>
        </w:rPr>
        <w:t xml:space="preserve">Protection:</w:t>
      </w:r>
    </w:p>
    <w:p>
      <w:pPr>
        <w:numPr>
          <w:ilvl w:val="0"/>
          <w:numId w:val="1000"/>
        </w:numPr>
      </w:pPr>
      <w:r>
        <w:t xml:space="preserve">Advocating for the rights of Māori mothers and ensuring equitable access to services.</w:t>
      </w:r>
    </w:p>
    <w:p>
      <w:pPr>
        <w:numPr>
          <w:ilvl w:val="0"/>
          <w:numId w:val="1001"/>
        </w:numPr>
      </w:pPr>
      <w:r>
        <w:rPr>
          <w:bCs/>
          <w:b/>
        </w:rPr>
        <w:t xml:space="preserve">Participation:</w:t>
      </w:r>
    </w:p>
    <w:p>
      <w:pPr>
        <w:numPr>
          <w:ilvl w:val="0"/>
          <w:numId w:val="1000"/>
        </w:numPr>
      </w:pPr>
      <w:r>
        <w:t xml:space="preserve">Empowering families to make informed decisions about their birthing journey.</w:t>
      </w:r>
    </w:p>
    <w:p>
      <w:pPr>
        <w:pStyle w:val="FirstParagraph"/>
      </w:pPr>
      <w:r>
        <w:t xml:space="preserve">The integration of tikanga Māori (customary practices) into clinical settings is essential. For example, the inclusion of pōneonae (newborns) in care plans must respect cultural protocols regarding connection to whenua (land) and whakapapa (genealogy). A Midwife in Auckland must facilitate these practices within hospital or home birth environments.</w:t>
      </w:r>
    </w:p>
    <w:bookmarkEnd w:id="24"/>
    <w:bookmarkStart w:id="27" w:name="Xbbbfffca638e7f413ddb3d5279c82272ac139c9"/>
    <w:p>
      <w:pPr>
        <w:pStyle w:val="Heading2"/>
      </w:pPr>
      <w:r>
        <w:t xml:space="preserve">4.0 Clinical Competencies and Emergency Preparedness</w:t>
      </w:r>
    </w:p>
    <w:p>
      <w:pPr>
        <w:pStyle w:val="FirstParagraph"/>
      </w:pPr>
      <w:r>
        <w:t xml:space="preserve">The "Lab" aspect of this report emphasizes the technical proficiency required of a Midwife. In Auckland, midwives often work in varying settings, from large hospitals like Auckland City Hospital to community clinics and private homes. The versatility required is significant.</w:t>
      </w:r>
    </w:p>
    <w:bookmarkStart w:id="25" w:name="primary-care-midwifery"/>
    <w:p>
      <w:pPr>
        <w:pStyle w:val="Heading3"/>
      </w:pPr>
      <w:r>
        <w:rPr>
          <w:bCs/>
          <w:b/>
        </w:rPr>
        <w:t xml:space="preserve">4.1 Primary Care Midwifery</w:t>
      </w:r>
    </w:p>
    <w:p>
      <w:pPr>
        <w:pStyle w:val="FirstParagraph"/>
      </w:pPr>
      <w:r>
        <w:t xml:space="preserve">Auckland has seen a rise in primary care midwifery models, where a Midwife provides continuity of care from pregnancy through to six weeks postpartum. This report notes that such models result in higher satisfaction rates and lower intervention rates. However, this requires robust backup systems. The Midwife must be skilled in identifying high-risk conditions early and referring appropriately.</w:t>
      </w:r>
    </w:p>
    <w:bookmarkEnd w:id="25"/>
    <w:bookmarkStart w:id="26" w:name="emergency-response"/>
    <w:p>
      <w:pPr>
        <w:pStyle w:val="Heading3"/>
      </w:pPr>
      <w:r>
        <w:rPr>
          <w:bCs/>
          <w:b/>
        </w:rPr>
        <w:t xml:space="preserve">4.2 Emergency Response</w:t>
      </w:r>
    </w:p>
    <w:p>
      <w:pPr>
        <w:pStyle w:val="FirstParagraph"/>
      </w:pPr>
      <w:r>
        <w:t xml:space="preserve">In the event of postpartum hemorrhage, neonatal resuscitation, or eclampsia, the Midwife must act decisively. The report recommends regular simulation training specific to Auckland’s infrastructure challenges, such as traffic congestion affecting emergency transport times.</w:t>
      </w:r>
    </w:p>
    <w:bookmarkEnd w:id="26"/>
    <w:bookmarkEnd w:id="27"/>
    <w:bookmarkStart w:id="28" w:name="mental-health-and-psychosocial-support"/>
    <w:p>
      <w:pPr>
        <w:pStyle w:val="Heading2"/>
      </w:pPr>
      <w:r>
        <w:t xml:space="preserve">5.0 Mental Health and Psychosocial Support</w:t>
      </w:r>
    </w:p>
    <w:p>
      <w:pPr>
        <w:pStyle w:val="FirstParagraph"/>
      </w:pPr>
      <w:r>
        <w:t xml:space="preserve">Mental health perinatal issues are a critical component of modern Midwifery in New Zealand Auckland. The isolation associated with urban living, combined with socioeconomic pressures, contributes to anxiety and depression rates among new mothers. This Lab Report identifies the need for Midwives to be trained in basic psychological first aid and screening tools (such as the Edinburgh Postnatal Depression Scale).</w:t>
      </w:r>
    </w:p>
    <w:p>
      <w:pPr>
        <w:pStyle w:val="BodyText"/>
      </w:pPr>
      <w:r>
        <w:t xml:space="preserve">Furthermore, there is a growing recognition of trauma-informed care. Many women in Auckland’s diverse communities may have experienced historical or personal trauma. A Midwife must create a safe space for disclosure and healing, ensuring that care is non-judgmental and empowering.</w:t>
      </w:r>
    </w:p>
    <w:bookmarkEnd w:id="28"/>
    <w:bookmarkStart w:id="29" w:name="Xc453cc6e3d5b9c0cf55eb9bb2d9e135ab8291ad"/>
    <w:p>
      <w:pPr>
        <w:pStyle w:val="Heading2"/>
      </w:pPr>
      <w:r>
        <w:t xml:space="preserve">6.0 Collaboration and Interdisciplinary Networks</w:t>
      </w:r>
    </w:p>
    <w:p>
      <w:pPr>
        <w:pStyle w:val="FirstParagraph"/>
      </w:pPr>
      <w:r>
        <w:t xml:space="preserve">No Midwife works in isolation. The effectiveness of midwifery care in Auckland depends heavily on interdisciplinary collaboration. This report outlines key partnerships:</w:t>
      </w:r>
    </w:p>
    <w:p>
      <w:pPr>
        <w:numPr>
          <w:ilvl w:val="0"/>
          <w:numId w:val="1002"/>
        </w:numPr>
        <w:pStyle w:val="Compact"/>
      </w:pPr>
      <w:r>
        <w:rPr>
          <w:bCs/>
          <w:b/>
        </w:rPr>
        <w:t xml:space="preserve">District Health Boards (DHBs):</w:t>
      </w:r>
      <w:r>
        <w:t xml:space="preserve"> </w:t>
      </w:r>
      <w:r>
        <w:t xml:space="preserve">Currently undergoing transition into Te Whatu Ora (Health New Zealand). Midwives must navigate these systemic changes to ensure service continuity.</w:t>
      </w:r>
    </w:p>
    <w:p>
      <w:pPr>
        <w:numPr>
          <w:ilvl w:val="0"/>
          <w:numId w:val="1002"/>
        </w:numPr>
        <w:pStyle w:val="Compact"/>
      </w:pPr>
      <w:r>
        <w:rPr>
          <w:bCs/>
          <w:b/>
        </w:rPr>
        <w:t xml:space="preserve">Pacifiqa and Asian Health Providers:</w:t>
      </w:r>
      <w:r>
        <w:t xml:space="preserve"> </w:t>
      </w:r>
      <w:r>
        <w:t xml:space="preserve">Collaborating with cultural health workers to bridge language and cultural gaps.</w:t>
      </w:r>
    </w:p>
    <w:p>
      <w:pPr>
        <w:numPr>
          <w:ilvl w:val="0"/>
          <w:numId w:val="1002"/>
        </w:numPr>
      </w:pPr>
      <w:r>
        <w:rPr>
          <w:bCs/>
          <w:b/>
        </w:rPr>
        <w:t xml:space="preserve">Social Services:</w:t>
      </w:r>
    </w:p>
    <w:p>
      <w:pPr>
        <w:numPr>
          <w:ilvl w:val="0"/>
          <w:numId w:val="1000"/>
        </w:numPr>
      </w:pPr>
      <w:r>
        <w:t xml:space="preserve">Referring families to housing support, budgeting advice, and substance abuse programs when necessary.</w:t>
      </w:r>
    </w:p>
    <w:bookmarkEnd w:id="29"/>
    <w:bookmarkStart w:id="30" w:name="recommendations-for-practice"/>
    <w:p>
      <w:pPr>
        <w:pStyle w:val="Heading2"/>
      </w:pPr>
      <w:r>
        <w:t xml:space="preserve">7.0 Recommendations for Practice</w:t>
      </w:r>
    </w:p>
    <w:p>
      <w:pPr>
        <w:pStyle w:val="FirstParagraph"/>
      </w:pPr>
      <w:r>
        <w:t xml:space="preserve">Based on the analysis presented in this Lab Report, the following recommendations are made for Midwives practicing in New Zealand Auckland:</w:t>
      </w:r>
    </w:p>
    <w:p>
      <w:pPr>
        <w:numPr>
          <w:ilvl w:val="0"/>
          <w:numId w:val="1003"/>
        </w:numPr>
      </w:pPr>
      <w:r>
        <w:rPr>
          <w:bCs/>
          <w:b/>
        </w:rPr>
        <w:t xml:space="preserve">Continuous Cultural Education:</w:t>
      </w:r>
    </w:p>
    <w:p>
      <w:pPr>
        <w:numPr>
          <w:ilvl w:val="0"/>
          <w:numId w:val="1000"/>
        </w:numPr>
      </w:pPr>
      <w:r>
        <w:t xml:space="preserve">Engage in ongoing professional development regarding Te Ao Māori and the specific cultural dynamics of Auckland’s diverse communities.</w:t>
      </w:r>
    </w:p>
    <w:p>
      <w:pPr>
        <w:numPr>
          <w:ilvl w:val="0"/>
          <w:numId w:val="1003"/>
        </w:numPr>
      </w:pPr>
      <w:r>
        <w:rPr>
          <w:bCs/>
          <w:b/>
        </w:rPr>
        <w:t xml:space="preserve">Leverage Technology:</w:t>
      </w:r>
    </w:p>
    <w:p>
      <w:pPr>
        <w:numPr>
          <w:ilvl w:val="0"/>
          <w:numId w:val="1000"/>
        </w:numPr>
      </w:pPr>
      <w:r>
        <w:t xml:space="preserve">Utilize telehealth options for follow-up appointments, particularly beneficial for families in Auckland’s sprawling suburbs who face transport challenges.</w:t>
      </w:r>
    </w:p>
    <w:p>
      <w:pPr>
        <w:numPr>
          <w:ilvl w:val="0"/>
          <w:numId w:val="1003"/>
        </w:numPr>
      </w:pPr>
      <w:r>
        <w:rPr>
          <w:bCs/>
          <w:b/>
        </w:rPr>
        <w:t xml:space="preserve">Advocacy:</w:t>
      </w:r>
    </w:p>
    <w:p>
      <w:pPr>
        <w:numPr>
          <w:ilvl w:val="0"/>
          <w:numId w:val="1000"/>
        </w:numPr>
      </w:pPr>
      <w:r>
        <w:t xml:space="preserve">Act as advocates for policy changes that address social inequities affecting maternal health in urban centers.</w:t>
      </w:r>
    </w:p>
    <w:p>
      <w:pPr>
        <w:numPr>
          <w:ilvl w:val="0"/>
          <w:numId w:val="1003"/>
        </w:numPr>
      </w:pPr>
      <w:r>
        <w:rPr>
          <w:bCs/>
          <w:b/>
        </w:rPr>
        <w:t xml:space="preserve">Holistic Care Models:</w:t>
      </w:r>
    </w:p>
    <w:p>
      <w:pPr>
        <w:numPr>
          <w:ilvl w:val="0"/>
          <w:numId w:val="1000"/>
        </w:numPr>
      </w:pPr>
      <w:r>
        <w:t xml:space="preserve">Integrate physical, emotional, and spiritual care into the midwifery model, respecting the whānau-centric approach preferred by many New Zealanders.</w:t>
      </w:r>
    </w:p>
    <w:bookmarkEnd w:id="30"/>
    <w:bookmarkStart w:id="31" w:name="conclusion"/>
    <w:p>
      <w:pPr>
        <w:pStyle w:val="Heading2"/>
      </w:pPr>
      <w:r>
        <w:t xml:space="preserve">8.0 Conclusion</w:t>
      </w:r>
    </w:p>
    <w:p>
      <w:pPr>
        <w:pStyle w:val="FirstParagraph"/>
      </w:pPr>
      <w:r>
        <w:t xml:space="preserve">This Lab Report concludes that Midwifery in New Zealand Auckland is a complex, multifaceted profession that demands more than clinical expertise. It requires a deep commitment to cultural safety, social justice, and collaborative care. The unique demographic landscape of Auckland offers both challenges and opportunities for improving maternal health outcomes globally.</w:t>
      </w:r>
    </w:p>
    <w:p>
      <w:pPr>
        <w:pStyle w:val="BodyText"/>
      </w:pPr>
      <w:r>
        <w:t xml:space="preserve">The modern Midwife must be an educator, advocate, clinician, and cultural broker all at once. By adhering to the standards outlined in this report and embracing the principles of Te Tiriti o Waitangi, Midwives can provide equitable, high-quality care to every mother and baby in Auckland. Future research should focus on longitudinal studies regarding the impact of primary care midwifery models on long-term family health in urban settings.</w:t>
      </w:r>
    </w:p>
    <w:p>
      <w:r>
        <w:pict>
          <v:rect style="width:0;height:1.5pt" o:hralign="center" o:hrstd="t" o:hr="t"/>
        </w:pict>
      </w:r>
    </w:p>
    <w:p>
      <w:pPr>
        <w:pStyle w:val="FirstParagraph"/>
      </w:pPr>
      <w:r>
        <w:rPr>
          <w:bCs/>
          <w:b/>
        </w:rPr>
        <w:t xml:space="preserve">Disclaimer:</w:t>
      </w:r>
      <w:r>
        <w:t xml:space="preserve"> </w:t>
      </w:r>
      <w:r>
        <w:t xml:space="preserve">This document is a simulated Lab Report for educational and informational purposes regarding professional standards in New Zealand Auckland.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Competency Lab Report: Midwifery Practice in New Zealand Auckland</dc:title>
  <dc:creator/>
  <dc:language>en</dc:language>
  <cp:keywords/>
  <dcterms:created xsi:type="dcterms:W3CDTF">2026-07-30T02:25:39Z</dcterms:created>
  <dcterms:modified xsi:type="dcterms:W3CDTF">2026-07-30T02:25:39Z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