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Midwifery</w:t>
      </w:r>
      <w:r>
        <w:t xml:space="preserve"> </w:t>
      </w:r>
      <w:r>
        <w:t xml:space="preserve">Practice</w:t>
      </w:r>
      <w:r>
        <w:t xml:space="preserve"> </w:t>
      </w:r>
      <w:r>
        <w:t xml:space="preserve">Framework</w:t>
      </w:r>
      <w:r>
        <w:t xml:space="preserve"> </w:t>
      </w:r>
      <w:r>
        <w:t xml:space="preserve">in</w:t>
      </w:r>
      <w:r>
        <w:t xml:space="preserve"> </w:t>
      </w:r>
      <w:r>
        <w:t xml:space="preserve">New</w:t>
      </w:r>
      <w:r>
        <w:t xml:space="preserve"> </w:t>
      </w:r>
      <w:r>
        <w:t xml:space="preserve">Zealand</w:t>
      </w:r>
      <w:r>
        <w:t xml:space="preserve"> </w:t>
      </w:r>
      <w:r>
        <w:t xml:space="preserve">Wellington</w:t>
      </w:r>
    </w:p>
    <w:bookmarkStart w:id="31" w:name="X2526cb37cd2bd09e282c672c51d9796db99a915"/>
    <w:p>
      <w:pPr>
        <w:pStyle w:val="Heading1"/>
      </w:pPr>
      <w:r>
        <w:t xml:space="preserve">Lab Report: Comprehensive Analysis of Midwifery Practice, Regulatory Standards, and Clinical Outcomes in New Zealand Wellington</w:t>
      </w:r>
    </w:p>
    <w:p>
      <w:pPr>
        <w:pStyle w:val="FirstParagraph"/>
      </w:pPr>
      <w:r>
        <w:rPr>
          <w:bCs/>
          <w:b/>
        </w:rPr>
        <w:t xml:space="preserve">Date:</w:t>
      </w:r>
      <w:r>
        <w:t xml:space="preserve"> </w:t>
      </w:r>
      <w:r>
        <w:t xml:space="preserve">October 26, 2023</w:t>
      </w:r>
      <w:r>
        <w:br/>
      </w:r>
      <w:r>
        <w:rPr>
          <w:bCs/>
          <w:b/>
        </w:rPr>
        <w:t xml:space="preserve">Prepared By:</w:t>
      </w:r>
      <w:r>
        <w:t xml:space="preserve"> </w:t>
      </w:r>
      <w:r>
        <w:t xml:space="preserve">Clinical Research Unit</w:t>
      </w:r>
      <w:r>
        <w:br/>
      </w:r>
      <w:r>
        <w:rPr>
          <w:bCs/>
          <w:b/>
        </w:rPr>
        <w:t xml:space="preserve">Jurisdictional Focus:</w:t>
      </w:r>
      <w:r>
        <w:t xml:space="preserve">New Zealand Wellington</w:t>
      </w:r>
      <w:r>
        <w:br/>
      </w:r>
      <w:r>
        <w:rPr>
          <w:bCs/>
          <w:b/>
        </w:rPr>
        <w:t xml:space="preserve">Degree of Study:</w:t>
      </w:r>
      <w:r>
        <w:t xml:space="preserve">Midwifery</w:t>
      </w:r>
    </w:p>
    <w:bookmarkStart w:id="20" w:name="abstract"/>
    <w:p>
      <w:pPr>
        <w:pStyle w:val="Heading2"/>
      </w:pPr>
      <w:r>
        <w:t xml:space="preserve">Abstract</w:t>
      </w:r>
    </w:p>
    <w:p>
      <w:pPr>
        <w:pStyle w:val="FirstParagraph"/>
      </w:pPr>
      <w:r>
        <w:t xml:space="preserve">This Lab Report provides a rigorous examination of the structural, clinical, and cultural frameworks governing midwifery practice within the specific geographic and demographic context of New Zealand Wellington. The primary objective of this investigation is to analyze how a dedicated Midwifery service operates under the dual mandates of Te Tiriti o Waitangi (The Treaty of Waitangi) and national regulatory standards. By evaluating clinical protocols, continuity-of-care models, and health equity outcomes in New Zealand Wellington, this document seeks to validate the efficacy of independent midwifery practice as a cornerstone of public health infrastructure.</w:t>
      </w:r>
    </w:p>
    <w:bookmarkEnd w:id="20"/>
    <w:bookmarkStart w:id="21" w:name="introduction"/>
    <w:p>
      <w:pPr>
        <w:pStyle w:val="Heading2"/>
      </w:pPr>
      <w:r>
        <w:t xml:space="preserve">1. Introduction</w:t>
      </w:r>
    </w:p>
    <w:p>
      <w:pPr>
        <w:pStyle w:val="FirstParagraph"/>
      </w:pPr>
      <w:r>
        <w:t xml:space="preserve">Midwifery is not merely a clinical specialty but a holistic discipline rooted in the promotion of normal birth and the empowerment of birthing people. In New Zealand, midwifery holds a unique statutory position, with registered Midwives possessing primary professional responsibility for women whose babies are not at high risk. This report focuses on New Zealand Wellington, an urban center characterized by diverse cultural demographics and a robust network of maternity services. The term 'New Zealand Wellington' represents both a geographic location and a specific healthcare ecosystem that integrates public hospital systems, private birthing centers, and community-based home births.</w:t>
      </w:r>
    </w:p>
    <w:p>
      <w:pPr>
        <w:pStyle w:val="BodyText"/>
      </w:pPr>
      <w:r>
        <w:t xml:space="preserve">The relevance of studying Midwifery in this context is profound. New Zealand has one of the highest rates of midwife-led care globally. However, disparities in health outcomes persist among Māori and Pacific communities. Therefore, understanding how a Midwifery model addresses these disparities within New Zealand Wellington is critical for policy development and clinical improvement.</w:t>
      </w:r>
    </w:p>
    <w:bookmarkEnd w:id="21"/>
    <w:bookmarkStart w:id="22" w:name="methodology-and-contextual-framework"/>
    <w:p>
      <w:pPr>
        <w:pStyle w:val="Heading2"/>
      </w:pPr>
      <w:r>
        <w:t xml:space="preserve">2. Methodology and Contextual Framework</w:t>
      </w:r>
    </w:p>
    <w:p>
      <w:pPr>
        <w:pStyle w:val="FirstParagraph"/>
      </w:pPr>
      <w:r>
        <w:t xml:space="preserve">This report utilizes a qualitative analysis of existing health data, regulatory guidelines from the Nursing Council of New Zealand, and clinical case studies derived from facilities across New Zealand Wellington. The methodology is grounded in three pillars:</w:t>
      </w:r>
    </w:p>
    <w:p>
      <w:pPr>
        <w:numPr>
          <w:ilvl w:val="0"/>
          <w:numId w:val="1001"/>
        </w:numPr>
        <w:pStyle w:val="Compact"/>
      </w:pPr>
      <w:r>
        <w:rPr>
          <w:bCs/>
          <w:b/>
        </w:rPr>
        <w:t xml:space="preserve">Cultural Safety:</w:t>
      </w:r>
      <w:r>
        <w:t xml:space="preserve"> </w:t>
      </w:r>
      <w:r>
        <w:t xml:space="preserve">Assessing how Midwifery practice incorporates tikanga Māori (Māori customs) and ensures culturally safe care.</w:t>
      </w:r>
    </w:p>
    <w:p>
      <w:pPr>
        <w:numPr>
          <w:ilvl w:val="0"/>
          <w:numId w:val="1001"/>
        </w:numPr>
        <w:pStyle w:val="Compact"/>
      </w:pPr>
      <w:r>
        <w:rPr>
          <w:bCs/>
          <w:b/>
        </w:rPr>
        <w:t xml:space="preserve">Clinical Governance:</w:t>
      </w:r>
      <w:r>
        <w:t xml:space="preserve"> </w:t>
      </w:r>
      <w:r>
        <w:t xml:space="preserve">Evaluating the safety standards, risk management, and evidence-based protocols adopted by Midwives.</w:t>
      </w:r>
    </w:p>
    <w:p>
      <w:pPr>
        <w:numPr>
          <w:ilvl w:val="0"/>
          <w:numId w:val="1001"/>
        </w:numPr>
        <w:pStyle w:val="Compact"/>
      </w:pPr>
      <w:r>
        <w:rPr>
          <w:bCs/>
          <w:b/>
        </w:rPr>
        <w:t xml:space="preserve">Continuity of Provider:</w:t>
      </w:r>
      <w:r>
        <w:t xml:space="preserve"> </w:t>
      </w:r>
      <w:r>
        <w:t xml:space="preserve">Analyzing the impact of long-term relationships between a Midwife and her clients on birth outcomes.</w:t>
      </w:r>
    </w:p>
    <w:bookmarkEnd w:id="22"/>
    <w:bookmarkStart w:id="25" w:name="X9ef349bbe9619c30279d78658e3d9fc9d015787"/>
    <w:p>
      <w:pPr>
        <w:pStyle w:val="Heading2"/>
      </w:pPr>
      <w:r>
        <w:t xml:space="preserve">3. The Role of the Midwifery Professional in New Zealand Wellington</w:t>
      </w:r>
    </w:p>
    <w:p>
      <w:pPr>
        <w:pStyle w:val="FirstParagraph"/>
      </w:pPr>
      <w:r>
        <w:t xml:space="preserve">In New Zealand, a registered Midwife is an autonomous practitioner. Unlike models in some other jurisdictions where obstetricians lead care for low-risk pregnancies, the Midwifery model places the midwife at the center of decision-making. In New Zealand Wellington, this autonomy is exercised within a collaborative framework involving general practitioners and specialist obstetricians when complications arise.</w:t>
      </w:r>
    </w:p>
    <w:bookmarkStart w:id="23" w:name="autonomy-and-scope-of-practice"/>
    <w:p>
      <w:pPr>
        <w:pStyle w:val="Heading3"/>
      </w:pPr>
      <w:r>
        <w:t xml:space="preserve">3.1 Autonomy and Scope of Practice</w:t>
      </w:r>
    </w:p>
    <w:p>
      <w:pPr>
        <w:pStyle w:val="FirstParagraph"/>
      </w:pPr>
      <w:r>
        <w:t xml:space="preserve">The scope of practice for a Midwife in New Zealand Wellington includes antenatal care, intrapartum support, postnatal care, and well-baby checks. This comprehensive approach allows the Midwifery practitioner to monitor physiological changes continuously. The report highlights that this autonomy fosters a higher level of accountability and professional satisfaction among practitioners.</w:t>
      </w:r>
    </w:p>
    <w:bookmarkEnd w:id="23"/>
    <w:bookmarkStart w:id="24" w:name="integration-with-public-health-services"/>
    <w:p>
      <w:pPr>
        <w:pStyle w:val="Heading3"/>
      </w:pPr>
      <w:r>
        <w:t xml:space="preserve">3.2 Integration with Public Health Services</w:t>
      </w:r>
    </w:p>
    <w:p>
      <w:pPr>
        <w:pStyle w:val="FirstParagraph"/>
      </w:pPr>
      <w:r>
        <w:t xml:space="preserve">New Zealand Wellington operates several key maternity hubs, including the Hutt Hospital and the Wellington Regional Maternity Unit. Midwives in these settings work alongside obstetric teams but retain their distinct identity and care plans. This integration ensures that while most births are managed safely by a Midwife, immediate access to surgical intervention is available if required.</w:t>
      </w:r>
    </w:p>
    <w:bookmarkEnd w:id="24"/>
    <w:bookmarkEnd w:id="25"/>
    <w:bookmarkStart w:id="26" w:name="X4611a83021b6ea9f7ad9f1d68db9b3900abb2ad"/>
    <w:p>
      <w:pPr>
        <w:pStyle w:val="Heading2"/>
      </w:pPr>
      <w:r>
        <w:t xml:space="preserve">4. Cultural Competency and Te Tiriti o Waitangi</w:t>
      </w:r>
    </w:p>
    <w:p>
      <w:pPr>
        <w:pStyle w:val="FirstParagraph"/>
      </w:pPr>
      <w:r>
        <w:t xml:space="preserve">A significant portion of this Lab Report focuses on the intersection of culture and care. In New Zealand Wellington, the population includes a high proportion of Māori (tangata whenua) and immigrants from Pacific Island nations, Asia, and elsewhere. The Midwifery profession in this region has committed to upholding Te Tiriti o Waitangi.</w:t>
      </w:r>
    </w:p>
    <w:p>
      <w:pPr>
        <w:pStyle w:val="BodyText"/>
      </w:pPr>
      <w:r>
        <w:t xml:space="preserve">This mandate requires that every Midwifery interaction acknowledges the partnership between Māori and the Crown. Practical applications include:</w:t>
      </w:r>
    </w:p>
    <w:p>
      <w:pPr>
        <w:numPr>
          <w:ilvl w:val="0"/>
          <w:numId w:val="1002"/>
        </w:numPr>
        <w:pStyle w:val="Compact"/>
      </w:pPr>
      <w:r>
        <w:rPr>
          <w:bCs/>
          <w:b/>
        </w:rPr>
        <w:t xml:space="preserve">Korowai Rangatiratanga:</w:t>
      </w:r>
      <w:r>
        <w:t xml:space="preserve"> </w:t>
      </w:r>
      <w:r>
        <w:t xml:space="preserve">Supporting self-determination in birth choices.</w:t>
      </w:r>
    </w:p>
    <w:p>
      <w:pPr>
        <w:numPr>
          <w:ilvl w:val="0"/>
          <w:numId w:val="1002"/>
        </w:numPr>
        <w:pStyle w:val="Compact"/>
      </w:pPr>
      <w:r>
        <w:rPr>
          <w:bCs/>
          <w:b/>
        </w:rPr>
        <w:t xml:space="preserve">Tino Rangatiratanga:</w:t>
      </w:r>
      <w:r>
        <w:t xml:space="preserve"> </w:t>
      </w:r>
      <w:r>
        <w:t xml:space="preserve">Ensuring that Māori women have access to culturally appropriate care, such as the presence of kaumātua (elders) during labor.</w:t>
      </w:r>
    </w:p>
    <w:p>
      <w:pPr>
        <w:pStyle w:val="FirstParagraph"/>
      </w:pPr>
      <w:r>
        <w:t xml:space="preserve">Data indicates that when Midwifery services actively engage with these cultural principles, satisfaction scores rise significantly among Māori and Pacific mothers in New Zealand Wellington. This suggests that cultural safety is not just a political obligation but a clinical necessity for effective care.</w:t>
      </w:r>
    </w:p>
    <w:bookmarkEnd w:id="26"/>
    <w:bookmarkStart w:id="27" w:name="clinical-outcomes-and-evidence-base"/>
    <w:p>
      <w:pPr>
        <w:pStyle w:val="Heading2"/>
      </w:pPr>
      <w:r>
        <w:t xml:space="preserve">5. Clinical Outcomes and Evidence Base</w:t>
      </w:r>
    </w:p>
    <w:p>
      <w:pPr>
        <w:pStyle w:val="FirstParagraph"/>
      </w:pPr>
      <w:r>
        <w:t xml:space="preserve">The effectiveness of the Midwifery model in New Zealand Wellington is supported by robust data. Comparative studies within the region show that women who receive continuity of care from a known Midwife are less likely to require instrumental delivery or cesarean sections. Furthermore, breastfeeding initiation rates are higher among those cared for by independent midwives compared to those in standard medical-led models.</w:t>
      </w:r>
    </w:p>
    <w:p>
      <w:pPr>
        <w:pStyle w:val="BodyText"/>
      </w:pPr>
      <w:r>
        <w:t xml:space="preserve">However, challenges remain. Access to midwifery-led home birth services in certain suburbs of New Zealand Wellington is limited by workforce shortages and insurance complexities. This report identifies a gap in rural-urban equity within the Greater Wellington region.</w:t>
      </w:r>
    </w:p>
    <w:bookmarkEnd w:id="27"/>
    <w:bookmarkStart w:id="28" w:name="challenges-and-future-directions"/>
    <w:p>
      <w:pPr>
        <w:pStyle w:val="Heading2"/>
      </w:pPr>
      <w:r>
        <w:t xml:space="preserve">6. Challenges and Future Directions</w:t>
      </w:r>
    </w:p>
    <w:p>
      <w:pPr>
        <w:pStyle w:val="FirstParagraph"/>
      </w:pPr>
      <w:r>
        <w:t xml:space="preserve">The Midwifery profession in New Zealand Wellington faces several pressing challenges:</w:t>
      </w:r>
    </w:p>
    <w:p>
      <w:pPr>
        <w:numPr>
          <w:ilvl w:val="0"/>
          <w:numId w:val="1003"/>
        </w:numPr>
        <w:pStyle w:val="Compact"/>
      </w:pPr>
      <w:r>
        <w:rPr>
          <w:bCs/>
          <w:b/>
        </w:rPr>
        <w:t xml:space="preserve">Burnout and Retention:</w:t>
      </w:r>
      <w:r>
        <w:t xml:space="preserve"> </w:t>
      </w:r>
      <w:r>
        <w:t xml:space="preserve">The emotional intensity of the work, combined with high caseloads, leads to burnout. Strategies to improve retention are essential for the sustainability of Midwifery services.</w:t>
      </w:r>
    </w:p>
    <w:p>
      <w:pPr>
        <w:numPr>
          <w:ilvl w:val="0"/>
          <w:numId w:val="1003"/>
        </w:numPr>
        <w:pStyle w:val="Compact"/>
      </w:pPr>
      <w:r>
        <w:rPr>
          <w:bCs/>
          <w:b/>
        </w:rPr>
        <w:t xml:space="preserve">Digital Integration:</w:t>
      </w:r>
      <w:r>
        <w:t xml:space="preserve"> </w:t>
      </w:r>
      <w:r>
        <w:t xml:space="preserve">The rapid adoption of telehealth post-2020 has changed how a Midwife interacts with clients. While efficient, it requires careful management to maintain the human connection central to midwifery philosophy.</w:t>
      </w:r>
    </w:p>
    <w:p>
      <w:pPr>
        <w:numPr>
          <w:ilvl w:val="0"/>
          <w:numId w:val="1003"/>
        </w:numPr>
        <w:pStyle w:val="Compact"/>
      </w:pPr>
      <w:r>
        <w:rPr>
          <w:bCs/>
          <w:b/>
        </w:rPr>
        <w:t xml:space="preserve">Cost and Accessibility:</w:t>
      </w:r>
      <w:r>
        <w:t xml:space="preserve"> </w:t>
      </w:r>
      <w:r>
        <w:t xml:space="preserve">Private midwifery care can be expensive. Ensuring that all women in New Zealand Wellington, regardless of socioeconomic status, have equitable access to high-quality Midwifery care remains a policy priority.</w:t>
      </w:r>
    </w:p>
    <w:bookmarkEnd w:id="28"/>
    <w:bookmarkStart w:id="29" w:name="conclusion"/>
    <w:p>
      <w:pPr>
        <w:pStyle w:val="Heading2"/>
      </w:pPr>
      <w:r>
        <w:t xml:space="preserve">7. Conclusion</w:t>
      </w:r>
    </w:p>
    <w:p>
      <w:pPr>
        <w:pStyle w:val="FirstParagraph"/>
      </w:pPr>
      <w:r>
        <w:t xml:space="preserve">In conclusion, this Lab Report affirms that the Midwifery model is a vital component of the healthcare system in New Zealand Wellington. It offers a safe, effective, and culturally responsive approach to childbirth that aligns with international best practices for normal birth. The autonomy granted to the Midwife allows for personalized care plans that respect the physiological dignity of birthing people.</w:t>
      </w:r>
    </w:p>
    <w:p>
      <w:pPr>
        <w:pStyle w:val="BodyText"/>
      </w:pPr>
      <w:r>
        <w:t xml:space="preserve">However, to maintain and improve these standards, continuous investment in workforce development is required. Specifically, efforts must be directed toward reducing health inequities for Māori and Pacific communities in New Zealand Wellington. The future of Midwifery depends on a collaborative approach that values both clinical expertise and cultural humility.</w:t>
      </w:r>
    </w:p>
    <w:p>
      <w:pPr>
        <w:pStyle w:val="BodyText"/>
      </w:pPr>
      <w:r>
        <w:t xml:space="preserve">Recommendations include increased funding for midwifery-led home birth initiatives, enhanced support systems to prevent practitioner burnout, and deeper integration of digital health tools without compromising the relational aspects of care. By addressing these areas, New Zealand Wellington can continue to serve as a global exemplar in Midwifery practice.</w:t>
      </w:r>
    </w:p>
    <w:bookmarkEnd w:id="29"/>
    <w:bookmarkStart w:id="30" w:name="references"/>
    <w:p>
      <w:pPr>
        <w:pStyle w:val="Heading2"/>
      </w:pPr>
      <w:r>
        <w:t xml:space="preserve">8. References</w:t>
      </w:r>
    </w:p>
    <w:p>
      <w:pPr>
        <w:pStyle w:val="FirstParagraph"/>
      </w:pPr>
      <w:r>
        <w:rPr>
          <w:iCs/>
          <w:i/>
        </w:rPr>
        <w:t xml:space="preserve">(Note: In a formal academic submission, specific citations from the Nursing Council of New Zealand, Te Whatu Ora Health NZ, and peer-reviewed journals on midwifery outcomes in Wellington would be listed here.)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Midwifery Practice Framework in New Zealand Wellington</dc:title>
  <dc:creator/>
  <dc:language>en</dc:language>
  <cp:keywords/>
  <dcterms:created xsi:type="dcterms:W3CDTF">2026-07-30T06:17:52Z</dcterms:created>
  <dcterms:modified xsi:type="dcterms:W3CDTF">2026-07-30T06:17:52Z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