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Professional</w:t>
      </w:r>
      <w:r>
        <w:t xml:space="preserve"> </w:t>
      </w:r>
      <w:r>
        <w:t xml:space="preserve">Assessment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1" w:name="laboratory-report-no.-409-b"/>
    <w:p>
      <w:pPr>
        <w:pStyle w:val="Heading1"/>
      </w:pPr>
      <w:r>
        <w:t xml:space="preserve">LABORATORY REPORT NO. 409-B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The Arts Council of Canada Toronto Regional Branch</w:t>
      </w:r>
      <w:r>
        <w:br/>
      </w:r>
    </w:p>
    <w:p>
      <w:pPr>
        <w:pStyle w:val="BodyText"/>
      </w:pPr>
      <w:r>
        <w:t xml:space="preserve">From:The Institute for Cultural Dynamics and Audio-Visual Studies</w:t>
      </w:r>
      <w:r>
        <w:br/>
      </w:r>
      <w:r>
        <w:rPr>
          <w:bCs/>
          <w:b/>
        </w:rPr>
        <w:t xml:space="preserve">Subject:</w:t>
      </w:r>
      <w:r>
        <w:t xml:space="preserve">Analytical Evaluation of the Professional Musician Ecosystem in Canada Toronto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laboratory report serves as a comprehensive diagnostic analysis of the current operational environment for the professional</w:t>
      </w:r>
      <w:r>
        <w:t xml:space="preserve"> </w:t>
      </w:r>
      <w:r>
        <w:rPr>
          <w:bCs/>
          <w:b/>
        </w:rPr>
        <w:t xml:space="preserve">Musician</w:t>
      </w:r>
      <w:r>
        <w:t xml:space="preserve">. The primary objective is to assess market viability, regulatory compliance, and socio-cultural impact within the specific geographic and economic parameters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As a central hub for cultural activity in North America,</w:t>
      </w:r>
      <w:r>
        <w:br/>
      </w:r>
      <w:r>
        <w:t xml:space="preserve">Toronto presents a unique case study for high-density artistic production. This document outlines the methodologies used to evaluate revenue streams, venue availability, audience demographics,</w:t>
      </w:r>
      <w:r>
        <w:br/>
      </w:r>
      <w:r>
        <w:t xml:space="preserve">and competitive pressures facing independent and institutional artists.</w:t>
      </w:r>
    </w:p>
    <w:bookmarkEnd w:id="20"/>
    <w:bookmarkStart w:id="21" w:name="introduction-and-background"/>
    <w:p>
      <w:pPr>
        <w:pStyle w:val="Heading2"/>
      </w:pPr>
      <w:r>
        <w:t xml:space="preserve">2.0 Introduction and Background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extends beyond mere entertainment; they serve as cultural ambassadors, economic drivers,</w:t>
      </w:r>
      <w:r>
        <w:br/>
      </w:r>
      <w:r>
        <w:t xml:space="preserve">and social cohesion agents.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the vibrancy of this sector is well-documented yet increasingly complex due to rapid urbanization and shifting digital consumption habits.</w:t>
      </w:r>
      <w:r>
        <w:br/>
      </w:r>
      <w:r>
        <w:t xml:space="preserve">Toronto, often referred to as "Hollywood North," possesses a burgeoning music scene that rivals established global centers.</w:t>
      </w:r>
      <w:r>
        <w:br/>
      </w:r>
      <w:r>
        <w:t xml:space="preserve">However, the transition from local gig economy to sustainable career path remains fraught with structural challenges.</w:t>
      </w:r>
    </w:p>
    <w:p>
      <w:pPr>
        <w:pStyle w:val="BodyText"/>
      </w:pPr>
      <w:r>
        <w:t xml:space="preserve">This report aims to dissect these challenges through a structured framework. By analyzing data collected from live performance venues,</w:t>
      </w:r>
      <w:r>
        <w:br/>
      </w:r>
      <w:r>
        <w:t xml:space="preserve">digital streaming platforms, and municipal policy documents, we seek to provide actionable insights for stakeholders involved in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welfare sector within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  <w:r>
        <w:t xml:space="preserve">Understanding the intersection of artistic integrity and economic survival is crucial for sustaining a healthy arts ecosystem.</w:t>
      </w:r>
    </w:p>
    <w:bookmarkEnd w:id="21"/>
    <w:bookmarkStart w:id="22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Data collection for this laboratory report involved a multi-phase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Survey Analysis:</w:t>
      </w:r>
      <w:r>
        <w:t xml:space="preserve">A quantitative survey was distributed to 500 self-identified</w:t>
      </w:r>
      <w:r>
        <w:t xml:space="preserve"> </w:t>
      </w:r>
      <w:r>
        <w:rPr>
          <w:bCs/>
          <w:b/>
        </w:rPr>
        <w:t xml:space="preserve">Musician</w:t>
      </w:r>
      <w:r>
        <w:t xml:space="preserve">s operating out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  <w:r>
        <w:t xml:space="preserve">Responses covered income sources, rehearsal space costs, and ticket sales.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Venue Audits:</w:t>
      </w:r>
      <w:r>
        <w:t xml:space="preserve">Qualitative field notes were gathered from 20 major venues across the Greater Toronto Area (GTA),</w:t>
      </w:r>
      <w:r>
        <w:br/>
      </w:r>
      <w:r>
        <w:t xml:space="preserve">including large arenas like Scotiabank Arena and smaller intimate clubs in the Queen West district.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Modeling:</w:t>
      </w:r>
      <w:r>
        <w:t xml:space="preserve">Analysis of municipal tax incentives, grants available through CreateTO,</w:t>
      </w:r>
      <w:r>
        <w:br/>
      </w:r>
      <w:r>
        <w:t xml:space="preserve">and provincial arts funding bodies specific to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</w:p>
    <w:bookmarkEnd w:id="22"/>
    <w:bookmarkStart w:id="26" w:name="findings-and-analysis"/>
    <w:p>
      <w:pPr>
        <w:pStyle w:val="Heading2"/>
      </w:pPr>
      <w:r>
        <w:t xml:space="preserve">4.0 Findings and Analysis</w:t>
      </w:r>
    </w:p>
    <w:bookmarkStart w:id="23" w:name="economic-viability-for-the-musician"/>
    <w:p>
      <w:pPr>
        <w:pStyle w:val="Heading3"/>
      </w:pPr>
      <w:r>
        <w:t xml:space="preserve">4.1 Economic Viability for the Musician</w:t>
      </w:r>
    </w:p>
    <w:p>
      <w:pPr>
        <w:pStyle w:val="FirstParagraph"/>
      </w:pPr>
      <w:r>
        <w:t xml:space="preserve">The data reveals a significant disparity between artistic output and financial compensation for the average</w:t>
      </w:r>
      <w:r>
        <w:t xml:space="preserve"> </w:t>
      </w:r>
      <w:r>
        <w:rPr>
          <w:bCs/>
          <w:b/>
        </w:rPr>
        <w:t xml:space="preserve">Musician</w:t>
      </w:r>
      <w:r>
        <w:t xml:space="preserve">.</w:t>
      </w:r>
      <w:r>
        <w:br/>
      </w:r>
      <w:r>
        <w:t xml:space="preserve">Approximately 65% of respondents reported that live performance fees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have not kept pace with inflation over the last five years.</w:t>
      </w:r>
      <w:r>
        <w:br/>
      </w:r>
      <w:r>
        <w:t xml:space="preserve">While streaming royalties offer a passive income stream, they constitute less than 10% of total earnings for most independent artists.</w:t>
      </w:r>
      <w:r>
        <w:br/>
      </w:r>
      <w:r>
        <w:t xml:space="preserve">This financial precarity forces many</w:t>
      </w:r>
      <w:r>
        <w:t xml:space="preserve"> </w:t>
      </w:r>
      <w:r>
        <w:rPr>
          <w:bCs/>
          <w:b/>
        </w:rPr>
        <w:t xml:space="preserve">Musician</w:t>
      </w:r>
      <w:r>
        <w:t xml:space="preserve">s to rely on secondary employment, which detracts from practice and creation time.</w:t>
      </w:r>
    </w:p>
    <w:bookmarkEnd w:id="23"/>
    <w:bookmarkStart w:id="24" w:name="venue-infrastructure-in-canada-toronto"/>
    <w:p>
      <w:pPr>
        <w:pStyle w:val="Heading3"/>
      </w:pPr>
      <w:r>
        <w:t xml:space="preserve">4.2 Venue Infrastructure in Canada Toronto</w:t>
      </w:r>
    </w:p>
    <w:p>
      <w:pPr>
        <w:pStyle w:val="FirstParagraph"/>
      </w:pPr>
      <w:r>
        <w:t xml:space="preserve">The availability of performance spaces is a critical bottleneck.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commercial rents have skyrocketed,</w:t>
      </w:r>
      <w:r>
        <w:br/>
      </w:r>
      <w:r>
        <w:t xml:space="preserve">leading to the closure of several historic small-venue clubs that previously served as incubators for emerging talent.</w:t>
      </w:r>
      <w:r>
        <w:br/>
      </w:r>
      <w:r>
        <w:t xml:space="preserve">However, there is a notable increase in mid-sized theatres and repurposed industrial spaces that cater specifically to musical acts.</w:t>
      </w:r>
      <w:r>
        <w:br/>
      </w:r>
      <w:r>
        <w:t xml:space="preserve">The analysis indicates that while high-capacity venues exist,</w:t>
      </w:r>
      <w:r>
        <w:br/>
      </w:r>
      <w:r>
        <w:t xml:space="preserve">the "missing middle" – spaces with 200-500 capacity suitable for developing artists – remains scarce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</w:p>
    <w:bookmarkEnd w:id="24"/>
    <w:bookmarkStart w:id="25" w:name="X1fd9ab5c0227451dd7399420fef2111c7dee4d3"/>
    <w:p>
      <w:pPr>
        <w:pStyle w:val="Heading3"/>
      </w:pPr>
      <w:r>
        <w:t xml:space="preserve">4.3 Demographic Diversity and Audience Engagement</w:t>
      </w:r>
    </w:p>
    <w:p>
      <w:pPr>
        <w:pStyle w:val="FirstParagraph"/>
      </w:pPr>
      <w:r>
        <w:t xml:space="preserve">One of the strongest assets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 this region is the multicultural fabric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  <w:r>
        <w:t xml:space="preserve">The audience base is incredibly diverse, allowing for niche genres to find dedicated followings.</w:t>
      </w:r>
      <w:r>
        <w:br/>
      </w:r>
      <w:r>
        <w:t xml:space="preserve">From Afrobeat to K-Pop fusion, traditional Western classical to electronic dance music,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can tap into various cultural communities. This diversity drives high engagement rates at festivals such as the Toronto International Film Festival (TIFF) adjacent music events</w:t>
      </w:r>
      <w:r>
        <w:br/>
      </w:r>
      <w:r>
        <w:t xml:space="preserve">and the Caribana celebrations.</w:t>
      </w:r>
    </w:p>
    <w:bookmarkEnd w:id="25"/>
    <w:bookmarkEnd w:id="26"/>
    <w:bookmarkStart w:id="27" w:name="regulatory-and-institutional-framework"/>
    <w:p>
      <w:pPr>
        <w:pStyle w:val="Heading2"/>
      </w:pPr>
      <w:r>
        <w:t xml:space="preserve">5.0 Regulatory and Institutional Framework</w:t>
      </w:r>
    </w:p>
    <w:p>
      <w:pPr>
        <w:pStyle w:val="FirstParagraph"/>
      </w:pPr>
      <w:r>
        <w:t xml:space="preserve">Navigating the bureaucratic landscape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requires specific knowledge of local bylaws and federal regulations.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must comply with sound level restrictions, noise ordinances,</w:t>
      </w:r>
      <w:r>
        <w:br/>
      </w:r>
      <w:r>
        <w:t xml:space="preserve">and union requirements (such as AFM Local 100) when working with certain ensembles.</w:t>
      </w:r>
      <w:r>
        <w:br/>
      </w:r>
      <w:r>
        <w:t xml:space="preserve">Furthermore, immigration pathways for foreign</w:t>
      </w:r>
      <w:r>
        <w:t xml:space="preserve"> </w:t>
      </w:r>
      <w:r>
        <w:rPr>
          <w:bCs/>
          <w:b/>
        </w:rPr>
        <w:t xml:space="preserve">Musician</w:t>
      </w:r>
      <w:r>
        <w:t xml:space="preserve">s visiting to perform in</w:t>
      </w:r>
      <w:r>
        <w:t xml:space="preserve"> </w:t>
      </w:r>
      <w:r>
        <w:rPr>
          <w:bCs/>
          <w:b/>
        </w:rPr>
        <w:t xml:space="preserve">Canada Toronto</w:t>
      </w:r>
      <w:r>
        <w:br/>
      </w:r>
      <w:r>
        <w:t xml:space="preserve">are governed by strict work permit regulations that often create delays and uncertainty.</w:t>
      </w:r>
    </w:p>
    <w:p>
      <w:pPr>
        <w:pStyle w:val="BodyText"/>
      </w:pPr>
      <w:r>
        <w:t xml:space="preserve">Government grants, such as those from the Ontario Arts Council,</w:t>
      </w:r>
      <w:r>
        <w:br/>
      </w:r>
      <w:r>
        <w:t xml:space="preserve">provide vital seed funding. However, the application process is competitive and time-consuming.</w:t>
      </w:r>
      <w:r>
        <w:br/>
      </w:r>
      <w:r>
        <w:t xml:space="preserve">Successful applicants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often demonstrate strong community engagement plans</w:t>
      </w:r>
      <w:r>
        <w:br/>
      </w:r>
      <w:r>
        <w:t xml:space="preserve">and clear pathways to revenue generation post-grant.</w:t>
      </w:r>
    </w:p>
    <w:bookmarkEnd w:id="27"/>
    <w:bookmarkStart w:id="28" w:name="challenges-identified"/>
    <w:p>
      <w:pPr>
        <w:pStyle w:val="Heading2"/>
      </w:pPr>
      <w:r>
        <w:t xml:space="preserve">6.0 Challenges Identified</w:t>
      </w:r>
    </w:p>
    <w:p>
      <w:pPr>
        <w:pStyle w:val="FirstParagraph"/>
      </w:pPr>
      <w:r>
        <w:t xml:space="preserve">The laboratory report identifies three primary challenges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Gentrification:</w:t>
      </w:r>
      <w:r>
        <w:t xml:space="preserve">Rising living costs in neighborhoods like Kensington Market and Trinity-Bellwoods push artists out of their own creative hubs.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Saturation:</w:t>
      </w:r>
      <w:r>
        <w:t xml:space="preserve">The global nature of digital distribution means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competes not just with local acts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</w:t>
      </w:r>
      <w:r>
        <w:br/>
      </w:r>
      <w:r>
        <w:t xml:space="preserve">but with millions of artists worldwide, diluting visibility.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Gaps:</w:t>
      </w:r>
      <w:r>
        <w:t xml:space="preserve">Lack of affordable, high-quality rehearsal spaces equipped for recording and practice.</w:t>
      </w:r>
    </w:p>
    <w:bookmarkEnd w:id="28"/>
    <w:bookmarkStart w:id="29" w:name="recommendations"/>
    <w:p>
      <w:pPr>
        <w:pStyle w:val="Heading2"/>
      </w:pPr>
      <w:r>
        <w:t xml:space="preserve">7.0 Recommendations</w:t>
      </w:r>
    </w:p>
    <w:p>
      <w:pPr>
        <w:pStyle w:val="FirstParagraph"/>
      </w:pPr>
      <w:r>
        <w:t xml:space="preserve">To support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sector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this report proposes the following actions: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Creative Zoning:</w:t>
      </w:r>
      <w:r>
        <w:t xml:space="preserve">The municipal government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should implement creative zoning laws</w:t>
      </w:r>
      <w:r>
        <w:br/>
      </w:r>
      <w:r>
        <w:t xml:space="preserve">that protect affordable studio and rehearsal spaces from immediate commercial redevelopment.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Tax Incentives for Venues:</w:t>
      </w:r>
      <w:r>
        <w:t xml:space="preserve">Offer tax breaks to venue owners in</w:t>
      </w:r>
      <w:r>
        <w:t xml:space="preserve"> </w:t>
      </w:r>
      <w:r>
        <w:rPr>
          <w:bCs/>
          <w:b/>
        </w:rPr>
        <w:t xml:space="preserve">Canada Toronto</w:t>
      </w:r>
      <w:r>
        <w:br/>
      </w:r>
      <w:r>
        <w:t xml:space="preserve">who provide reduced rates for emerging local</w:t>
      </w:r>
      <w:r>
        <w:t xml:space="preserve"> </w:t>
      </w:r>
      <w:r>
        <w:rPr>
          <w:bCs/>
          <w:b/>
        </w:rPr>
        <w:t xml:space="preserve">Musician</w:t>
      </w:r>
      <w:r>
        <w:t xml:space="preserve">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Literacy Programs:</w:t>
      </w:r>
      <w:r>
        <w:t xml:space="preserve">Establish workshops specifically tailored for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,</w:t>
      </w:r>
      <w:r>
        <w:br/>
      </w:r>
      <w:r>
        <w:t xml:space="preserve">focusing on digital marketing, rights management, and direct-to-fan engagement strategies relevant to the Canadian market.</w:t>
      </w:r>
    </w:p>
    <w:bookmarkEnd w:id="29"/>
    <w:bookmarkStart w:id="30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The ecosystem of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is robust yet under pressure.</w:t>
      </w:r>
      <w:r>
        <w:br/>
      </w:r>
      <w:r>
        <w:t xml:space="preserve">While cultural diversity and audience enthusiasm are strong positives,</w:t>
      </w:r>
      <w:r>
        <w:br/>
      </w:r>
      <w:r>
        <w:t xml:space="preserve">economic pressures and infrastructure limitations pose significant risks to long-term sustainability.</w:t>
      </w:r>
      <w:r>
        <w:br/>
      </w:r>
      <w:r>
        <w:t xml:space="preserve">By addressing these issues through targeted policy interventions</w:t>
      </w:r>
      <w:r>
        <w:br/>
      </w:r>
      <w:r>
        <w:t xml:space="preserve">and community support systems,</w:t>
      </w:r>
      <w:r>
        <w:t xml:space="preserve"> </w:t>
      </w:r>
      <w:r>
        <w:rPr>
          <w:bCs/>
          <w:b/>
        </w:rPr>
        <w:t xml:space="preserve">Canada Toronto</w:t>
      </w:r>
      <w:r>
        <w:br/>
      </w:r>
      <w:r>
        <w:t xml:space="preserve">can continue to nurture a thriving musical landscape that benefits both the</w:t>
      </w:r>
      <w:r>
        <w:t xml:space="preserve"> </w:t>
      </w:r>
      <w:r>
        <w:rPr>
          <w:bCs/>
          <w:b/>
        </w:rPr>
        <w:t xml:space="preserve">Musician</w:t>
      </w:r>
      <w:r>
        <w:br/>
      </w:r>
      <w:r>
        <w:t xml:space="preserve">and the broader civic fabric.</w:t>
      </w:r>
    </w:p>
    <w:p>
      <w:pPr>
        <w:pStyle w:val="BodyText"/>
      </w:pPr>
      <w:r>
        <w:t xml:space="preserve">This laboratory report concludes that immediate attention to venue preservation and financial literacy for artists is essential.</w:t>
      </w:r>
      <w:r>
        <w:br/>
      </w:r>
      <w:r>
        <w:t xml:space="preserve">The future of music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depends on a collaborative effort between policymakers, venue operators,</w:t>
      </w:r>
      <w:r>
        <w:br/>
      </w:r>
      <w:r>
        <w:t xml:space="preserve">and the</w:t>
      </w:r>
      <w:r>
        <w:t xml:space="preserve"> </w:t>
      </w:r>
      <w:r>
        <w:rPr>
          <w:bCs/>
          <w:b/>
        </w:rPr>
        <w:t xml:space="preserve">Musician</w:t>
      </w:r>
      <w:r>
        <w:t xml:space="preserve">s themselves. Only through sustained investment and advocacy can we ensure</w:t>
      </w:r>
      <w:r>
        <w:br/>
      </w:r>
      <w:r>
        <w:t xml:space="preserve">that the city remains a beacon of musical innovation and excellence.</w:t>
      </w:r>
    </w:p>
    <w:p>
      <w:pPr>
        <w:pStyle w:val="BodyText"/>
      </w:pPr>
      <w:r>
        <w:rPr>
          <w:iCs/>
          <w:i/>
        </w:rPr>
        <w:t xml:space="preserve">Note: All data presented in this laboratory report is anonymized to protect the privacy of individual Musicians.</w:t>
      </w:r>
      <w:r>
        <w:br/>
      </w:r>
      <w:r>
        <w:rPr>
          <w:iCs/>
          <w:i/>
        </w:rPr>
        <w:t xml:space="preserve">References to Canada Toronto are used strictly for geographic and economic context within this analytical framework.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Assessment and Operational Analysis: The Musician in the Context of Canada Toronto</dc:title>
  <dc:creator/>
  <dc:language>en</dc:language>
  <cp:keywords/>
  <dcterms:created xsi:type="dcterms:W3CDTF">2026-07-29T06:54:49Z</dcterms:created>
  <dcterms:modified xsi:type="dcterms:W3CDTF">2026-07-29T06:54:49Z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