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Acoustic</w:t>
      </w:r>
      <w:r>
        <w:t xml:space="preserve"> </w:t>
      </w:r>
      <w:r>
        <w:t xml:space="preserve">and</w:t>
      </w:r>
      <w:r>
        <w:t xml:space="preserve"> </w:t>
      </w:r>
      <w:r>
        <w:t xml:space="preserve">Cultural</w:t>
      </w:r>
      <w:r>
        <w:t xml:space="preserve"> </w:t>
      </w:r>
      <w:r>
        <w:t xml:space="preserve">Dynamics</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China</w:t>
      </w:r>
      <w:r>
        <w:t xml:space="preserve"> </w:t>
      </w:r>
      <w:r>
        <w:t xml:space="preserve">Guangzhou</w:t>
      </w:r>
    </w:p>
    <w:bookmarkStart w:id="30" w:name="laboratory-report-id-8094-czg"/>
    <w:p>
      <w:pPr>
        <w:pStyle w:val="Heading1"/>
      </w:pPr>
      <w:r>
        <w:t xml:space="preserve">Laboratory Report ID-8094-CZG</w:t>
      </w:r>
    </w:p>
    <w:bookmarkStart w:id="20" w:name="title"/>
    <w:p>
      <w:pPr>
        <w:pStyle w:val="Heading3"/>
      </w:pPr>
      <w:r>
        <w:t xml:space="preserve">Title:</w:t>
      </w:r>
    </w:p>
    <w:p>
      <w:pPr>
        <w:pStyle w:val="FirstParagraph"/>
      </w:pPr>
      <w:r>
        <w:rPr>
          <w:bCs/>
          <w:b/>
        </w:rPr>
        <w:t xml:space="preserve">An Analysis of Musical Adaptation, Cultural Synthesis, and Performance Dynamics Utilized by a Professional Musician Operating within the Urban Ecosystem of China Guangzhou</w:t>
      </w:r>
    </w:p>
    <w:p>
      <w:pPr>
        <w:pStyle w:val="BodyText"/>
      </w:pPr>
      <w:r>
        <w:rPr>
          <w:bCs/>
          <w:b/>
        </w:rPr>
        <w:t xml:space="preserve">Date:</w:t>
      </w:r>
      <w:r>
        <w:t xml:space="preserve"> </w:t>
      </w:r>
      <w:r>
        <w:t xml:space="preserve">October 26, 2023</w:t>
      </w:r>
      <w:r>
        <w:br/>
      </w:r>
      <w:r>
        <w:rPr>
          <w:bCs/>
          <w:b/>
        </w:rPr>
        <w:t xml:space="preserve">Location:</w:t>
      </w:r>
      <w:r>
        <w:t xml:space="preserve"> </w:t>
      </w:r>
      <w:r>
        <w:t xml:space="preserve">Guangzhou Laboratory for Performing Arts Research, Guangdong Province,</w:t>
      </w:r>
      <w:r>
        <w:t xml:space="preserve"> </w:t>
      </w:r>
      <w:r>
        <w:rPr>
          <w:iCs/>
          <w:i/>
        </w:rPr>
        <w:t xml:space="preserve">China Guangzhou</w:t>
      </w:r>
      <w:r>
        <w:br/>
      </w:r>
    </w:p>
    <w:p>
      <w:pPr>
        <w:pStyle w:val="BodyText"/>
      </w:pPr>
      <w:r>
        <w:t xml:space="preserve">Subject:</w:t>
      </w:r>
    </w:p>
    <w:p>
      <w:pPr>
        <w:pStyle w:val="BodyText"/>
      </w:pPr>
      <w:hyperlink w:anchor="Xa39a3ee5e6b4b0d3255bfef95601890afd80709">
        <w:r>
          <w:rPr>
            <w:rStyle w:val="Hyperlink"/>
          </w:rPr>
          <w:t xml:space="preserve">Musician</w:t>
        </w:r>
      </w:hyperlink>
      <w:r>
        <w:t xml:space="preserve">: Field Case Study #45-B (Classical Cello/Synthesizer Fusion)</w:t>
      </w:r>
      <w:r>
        <w:br/>
      </w:r>
      <w:r>
        <w:rPr>
          <w:bCs/>
          <w:b/>
        </w:rPr>
        <w:t xml:space="preserve">Lead Investigator:</w:t>
      </w:r>
      <w:r>
        <w:t xml:space="preserve"> </w:t>
      </w:r>
      <w:r>
        <w:t xml:space="preserve">Dr. A. Chen</w:t>
      </w:r>
      <w:r>
        <w:br/>
      </w:r>
      <w:r>
        <w:rPr>
          <w:bCs/>
          <w:b/>
        </w:rPr>
        <w:t xml:space="preserve">Status:</w:t>
      </w:r>
      <w:r>
        <w:t xml:space="preserve"> </w:t>
      </w:r>
      <w:r>
        <w:t xml:space="preserve">Final Report</w:t>
      </w:r>
    </w:p>
    <w:bookmarkEnd w:id="20"/>
    <w:bookmarkStart w:id="21" w:name="abstract"/>
    <w:p>
      <w:pPr>
        <w:pStyle w:val="Heading3"/>
      </w:pPr>
      <w:r>
        <w:rPr>
          <w:bCs/>
          <w:b/>
        </w:rPr>
        <w:t xml:space="preserve">Abstract</w:t>
      </w:r>
    </w:p>
    <w:p>
      <w:pPr>
        <w:pStyle w:val="FirstParagraph"/>
      </w:pPr>
      <w:r>
        <w:t xml:space="preserve">This laboratory report details the comprehensive observation and analysis of a professional</w:t>
      </w:r>
      <w:r>
        <w:t xml:space="preserve"> </w:t>
      </w:r>
      <w:hyperlink w:anchor="Xa39a3ee5e6b4b0d3255bfef95601890afd80709">
        <w:r>
          <w:rPr>
            <w:rStyle w:val="Hyperlink"/>
          </w:rPr>
          <w:t xml:space="preserve">Musician</w:t>
        </w:r>
      </w:hyperlink>
      <w:r>
        <w:t xml:space="preserve">, designated as Subject M-7, during a six-month residency and performance series in</w:t>
      </w:r>
      <w:r>
        <w:t xml:space="preserve"> </w:t>
      </w:r>
      <w:r>
        <w:rPr>
          <w:iCs/>
          <w:i/>
        </w:rPr>
        <w:t xml:space="preserve">China Guangzhou</w:t>
      </w:r>
      <w:r>
        <w:t xml:space="preserve">. The primary objective was to document how individual artistic expression adapts to the unique socio-cultural soundscape of one of China’s most vibrant metropolitan hubs. By monitoring rehearsal protocols, audience reception metrics, and cross-cultural collaborative efforts with local Cantonese opera troupes, this study aims to establish a framework for understanding the role of a</w:t>
      </w:r>
      <w:r>
        <w:t xml:space="preserve"> </w:t>
      </w:r>
      <w:hyperlink w:anchor="Xa39a3ee5e6b4b0d3255bfef95601890afd80709">
        <w:r>
          <w:rPr>
            <w:rStyle w:val="Hyperlink"/>
          </w:rPr>
          <w:t xml:space="preserve">Musician</w:t>
        </w:r>
      </w:hyperlink>
      <w:r>
        <w:t xml:space="preserve"> </w:t>
      </w:r>
      <w:r>
        <w:t xml:space="preserve">as both an artist and a cultural ambassador in</w:t>
      </w:r>
      <w:r>
        <w:t xml:space="preserve"> </w:t>
      </w:r>
      <w:r>
        <w:rPr>
          <w:iCs/>
          <w:i/>
        </w:rPr>
        <w:t xml:space="preserve">China Guangzhou</w:t>
      </w:r>
      <w:r>
        <w:t xml:space="preserve">. The findings suggest that successful integration requires not only technical proficiency but also profound linguistic and historical awareness specific to the Lingnan culture.</w:t>
      </w:r>
    </w:p>
    <w:bookmarkEnd w:id="21"/>
    <w:bookmarkStart w:id="22" w:name="i.-introduction-and-objectives"/>
    <w:p>
      <w:pPr>
        <w:pStyle w:val="Heading2"/>
      </w:pPr>
      <w:r>
        <w:rPr>
          <w:bCs/>
          <w:b/>
        </w:rPr>
        <w:t xml:space="preserve">I. Introduction and Objectives</w:t>
      </w:r>
    </w:p>
    <w:p>
      <w:pPr>
        <w:pStyle w:val="FirstParagraph"/>
      </w:pPr>
      <w:r>
        <w:t xml:space="preserve">The city of</w:t>
      </w:r>
      <w:r>
        <w:t xml:space="preserve"> </w:t>
      </w:r>
      <w:r>
        <w:rPr>
          <w:iCs/>
          <w:i/>
        </w:rPr>
        <w:t xml:space="preserve">China Guangzhou</w:t>
      </w:r>
      <w:r>
        <w:t xml:space="preserve">, historically known as Canton, serves as a critical gateway between traditional Chinese heritage and modern global influence. For a</w:t>
      </w:r>
      <w:r>
        <w:t xml:space="preserve"> </w:t>
      </w:r>
      <w:hyperlink w:anchor="Xa39a3ee5e6b4b0d3255bfef95601890afd80709">
        <w:r>
          <w:rPr>
            <w:rStyle w:val="Hyperlink"/>
          </w:rPr>
          <w:t xml:space="preserve">Musician</w:t>
        </w:r>
      </w:hyperlink>
      <w:r>
        <w:t xml:space="preserve"> </w:t>
      </w:r>
      <w:r>
        <w:t xml:space="preserve">operating in this region, the challenge is not merely performance but synthesis. This report investigates the methods by which Subject M-7 navigated these complexities.</w:t>
      </w:r>
    </w:p>
    <w:p>
      <w:pPr>
        <w:pStyle w:val="BodyText"/>
      </w:pPr>
      <w:r>
        <w:rPr>
          <w:bCs/>
          <w:b/>
        </w:rPr>
        <w:t xml:space="preserve">Primary Objectives:</w:t>
      </w:r>
    </w:p>
    <w:p>
      <w:pPr>
        <w:numPr>
          <w:ilvl w:val="0"/>
          <w:numId w:val="1001"/>
        </w:numPr>
        <w:pStyle w:val="Compact"/>
      </w:pPr>
      <w:r>
        <w:t xml:space="preserve">To analyze the acoustic requirements of modern venues in</w:t>
      </w:r>
      <w:r>
        <w:t xml:space="preserve"> </w:t>
      </w:r>
      <w:r>
        <w:rPr>
          <w:iCs/>
          <w:i/>
        </w:rPr>
        <w:t xml:space="preserve">China Guangzhou</w:t>
      </w:r>
      <w:r>
        <w:t xml:space="preserve">.</w:t>
      </w:r>
    </w:p>
    <w:p>
      <w:pPr>
        <w:numPr>
          <w:ilvl w:val="0"/>
          <w:numId w:val="1001"/>
        </w:numPr>
        <w:pStyle w:val="Compact"/>
      </w:pPr>
      <w:r>
        <w:t xml:space="preserve">To evaluate the efficacy of blending Western classical instrumentation with traditional Cantonese melodic structures.</w:t>
      </w:r>
    </w:p>
    <w:p>
      <w:pPr>
        <w:numPr>
          <w:ilvl w:val="0"/>
          <w:numId w:val="1001"/>
        </w:numPr>
        <w:pStyle w:val="Compact"/>
      </w:pPr>
      <w:r>
        <w:t xml:space="preserve">To assess the psychological and social impact on a foreign-born or expatriate-born</w:t>
      </w:r>
      <w:r>
        <w:t xml:space="preserve"> </w:t>
      </w:r>
      <w:hyperlink w:anchor="Xa39a3ee5e6b4b0d3255bfef95601890afd80709">
        <w:r>
          <w:rPr>
            <w:rStyle w:val="Hyperlink"/>
          </w:rPr>
          <w:t xml:space="preserve">Musician</w:t>
        </w:r>
      </w:hyperlink>
      <w:r>
        <w:t xml:space="preserve"> </w:t>
      </w:r>
      <w:r>
        <w:t xml:space="preserve">integrating into the local community.</w:t>
      </w:r>
    </w:p>
    <w:bookmarkEnd w:id="22"/>
    <w:bookmarkStart w:id="23" w:name="Xdded44ff5bca773bfbc36241bfe1edcd7301b37"/>
    <w:p>
      <w:pPr>
        <w:pStyle w:val="Heading2"/>
      </w:pPr>
      <w:r>
        <w:rPr>
          <w:bCs/>
          <w:b/>
        </w:rPr>
        <w:t xml:space="preserve">II. Methodology: The Subject as a Musician</w:t>
      </w:r>
    </w:p>
    <w:p>
      <w:pPr>
        <w:pStyle w:val="FirstParagraph"/>
      </w:pPr>
      <w:r>
        <w:t xml:space="preserve">The subject, referred to herein as "The</w:t>
      </w:r>
      <w:r>
        <w:t xml:space="preserve"> </w:t>
      </w:r>
      <w:hyperlink w:anchor="Xa39a3ee5e6b4b0d3255bfef95601890afd80709">
        <w:r>
          <w:rPr>
            <w:rStyle w:val="Hyperlink"/>
          </w:rPr>
          <w:t xml:space="preserve">Musician</w:t>
        </w:r>
      </w:hyperlink>
      <w:r>
        <w:t xml:space="preserve">", is a multi-instrumentalist specializing in cello and electronic synthesis. The methodology involved three distinct phases of observation conducted across key districts in</w:t>
      </w:r>
      <w:r>
        <w:t xml:space="preserve"> </w:t>
      </w:r>
      <w:r>
        <w:rPr>
          <w:iCs/>
          <w:i/>
        </w:rPr>
        <w:t xml:space="preserve">China Guangzhou</w:t>
      </w:r>
      <w:r>
        <w:t xml:space="preserve">, including the Zhujiang New Town cultural center and historic Liwan district.</w:t>
      </w:r>
    </w:p>
    <w:p>
      <w:pPr>
        <w:pStyle w:val="BodyText"/>
      </w:pPr>
      <w:r>
        <w:rPr>
          <w:bCs/>
          <w:b/>
        </w:rPr>
        <w:t xml:space="preserve">Phase 1: Environmental Acoustics</w:t>
      </w:r>
    </w:p>
    <w:p>
      <w:pPr>
        <w:pStyle w:val="BodyText"/>
      </w:pPr>
      <w:r>
        <w:t xml:space="preserve">The</w:t>
      </w:r>
      <w:r>
        <w:t xml:space="preserve"> </w:t>
      </w:r>
      <w:hyperlink w:anchor="Xa39a3ee5e6b4b0d3255bfef95601890afd80709">
        <w:r>
          <w:rPr>
            <w:rStyle w:val="Hyperlink"/>
          </w:rPr>
          <w:t xml:space="preserve">Musician</w:t>
        </w:r>
      </w:hyperlink>
      <w:r>
        <w:t xml:space="preserve"> </w:t>
      </w:r>
      <w:r>
        <w:t xml:space="preserve">was observed rehearsing in three distinct environments within</w:t>
      </w:r>
      <w:r>
        <w:t xml:space="preserve"> </w:t>
      </w:r>
      <w:r>
        <w:rPr>
          <w:iCs/>
          <w:i/>
        </w:rPr>
        <w:t xml:space="preserve">China Guangzhou</w:t>
      </w:r>
      <w:r>
        <w:t xml:space="preserve">. The first was a high-end concert hall with state-of-the-art digital mixing boards. The second was an open-air pavilion in Yuexiu Park, where ambient noise from the city presented significant variables. This phase highlighted how a</w:t>
      </w:r>
      <w:r>
        <w:t xml:space="preserve"> </w:t>
      </w:r>
      <w:hyperlink w:anchor="Xa39a3ee5e6b4b0d3255bfef95601890afd80709">
        <w:r>
          <w:rPr>
            <w:rStyle w:val="Hyperlink"/>
          </w:rPr>
          <w:t xml:space="preserve">Musician</w:t>
        </w:r>
      </w:hyperlink>
      <w:r>
        <w:t xml:space="preserve"> </w:t>
      </w:r>
      <w:r>
        <w:t xml:space="preserve">must adjust their dynamic range and instrumentation choice based on the specific acoustic properties of venues in</w:t>
      </w:r>
      <w:r>
        <w:t xml:space="preserve"> </w:t>
      </w:r>
      <w:r>
        <w:rPr>
          <w:iCs/>
          <w:i/>
        </w:rPr>
        <w:t xml:space="preserve">China Guangzhou</w:t>
      </w:r>
      <w:r>
        <w:t xml:space="preserve">.</w:t>
      </w:r>
    </w:p>
    <w:p>
      <w:pPr>
        <w:pStyle w:val="BodyText"/>
      </w:pPr>
      <w:r>
        <w:rPr>
          <w:bCs/>
          <w:b/>
        </w:rPr>
        <w:t xml:space="preserve">Phase 2: Cultural Collaboration</w:t>
      </w:r>
    </w:p>
    <w:p>
      <w:pPr>
        <w:pStyle w:val="BodyText"/>
      </w:pPr>
      <w:r>
        <w:t xml:space="preserve">A critical component of this study involved collaboration with local musicians trained in traditional Cantonese instruments, such as the Yangqin and Gaohu. The</w:t>
      </w:r>
      <w:r>
        <w:t xml:space="preserve"> </w:t>
      </w:r>
      <w:hyperlink w:anchor="Xa39a3ee5e6b4b0d3255bfef95601890afd80709">
        <w:r>
          <w:rPr>
            <w:rStyle w:val="Hyperlink"/>
          </w:rPr>
          <w:t xml:space="preserve">Musician</w:t>
        </w:r>
      </w:hyperlink>
      <w:r>
        <w:t xml:space="preserve"> </w:t>
      </w:r>
      <w:r>
        <w:t xml:space="preserve">engaged in a series of jam sessions to test harmonic compatibility. Data was recorded regarding pitch bending, rhythm synchronization, and improvisational responsiveness.</w:t>
      </w:r>
    </w:p>
    <w:p>
      <w:pPr>
        <w:pStyle w:val="BodyText"/>
      </w:pPr>
      <w:r>
        <w:rPr>
          <w:bCs/>
          <w:b/>
        </w:rPr>
        <w:t xml:space="preserve">Phase 3: Audience Interaction</w:t>
      </w:r>
    </w:p>
    <w:p>
      <w:pPr>
        <w:pStyle w:val="BodyText"/>
      </w:pPr>
      <w:r>
        <w:t xml:space="preserve">The</w:t>
      </w:r>
      <w:r>
        <w:t xml:space="preserve"> </w:t>
      </w:r>
      <w:hyperlink w:anchor="Xa39a3ee5e6b4b0d3255bfef95601890afd80709">
        <w:r>
          <w:rPr>
            <w:rStyle w:val="Hyperlink"/>
          </w:rPr>
          <w:t xml:space="preserve">Musician</w:t>
        </w:r>
      </w:hyperlink>
      <w:r>
        <w:t xml:space="preserve">'s ability to communicate non-verbally with audiences in</w:t>
      </w:r>
      <w:r>
        <w:t xml:space="preserve"> </w:t>
      </w:r>
      <w:r>
        <w:rPr>
          <w:iCs/>
          <w:i/>
        </w:rPr>
        <w:t xml:space="preserve">China Guangzhou</w:t>
      </w:r>
      <w:r>
        <w:t xml:space="preserve"> </w:t>
      </w:r>
      <w:r>
        <w:t xml:space="preserve">was monitored. Given the language barrier potential, body language and musical phrasing were analyzed as primary communication tools.</w:t>
      </w:r>
    </w:p>
    <w:bookmarkEnd w:id="23"/>
    <w:bookmarkStart w:id="26" w:name="iii.-results-and-data-analysis"/>
    <w:p>
      <w:pPr>
        <w:pStyle w:val="Heading2"/>
      </w:pPr>
      <w:r>
        <w:rPr>
          <w:bCs/>
          <w:b/>
        </w:rPr>
        <w:t xml:space="preserve">III. Results and Data Analysis</w:t>
      </w:r>
    </w:p>
    <w:bookmarkStart w:id="24" w:name="X06af3c2d5818adca6ef78efce5921a2beaa447a"/>
    <w:p>
      <w:pPr>
        <w:pStyle w:val="Heading3"/>
      </w:pPr>
      <w:r>
        <w:rPr>
          <w:bCs/>
          <w:b/>
        </w:rPr>
        <w:t xml:space="preserve">A. Acoustic Adaptation in China Guangzhou Venues</w:t>
      </w:r>
    </w:p>
    <w:p>
      <w:pPr>
        <w:pStyle w:val="FirstParagraph"/>
      </w:pPr>
      <w:r>
        <w:t xml:space="preserve">Data indicates that venues in</w:t>
      </w:r>
      <w:r>
        <w:t xml:space="preserve"> </w:t>
      </w:r>
      <w:r>
        <w:rPr>
          <w:iCs/>
          <w:i/>
        </w:rPr>
        <w:t xml:space="preserve">China Guangzhou</w:t>
      </w:r>
      <w:r>
        <w:t xml:space="preserve">, particularly older structures in the heritage districts, possess high reverberation times due to stone and concrete construction. The</w:t>
      </w:r>
      <w:r>
        <w:t xml:space="preserve"> </w:t>
      </w:r>
      <w:hyperlink w:anchor="Xa39a3ee5e6b4b0d3255bfef95601890afd80709">
        <w:r>
          <w:rPr>
            <w:rStyle w:val="Hyperlink"/>
          </w:rPr>
          <w:t xml:space="preserve">Musician</w:t>
        </w:r>
      </w:hyperlink>
      <w:r>
        <w:t xml:space="preserve"> </w:t>
      </w:r>
      <w:r>
        <w:t xml:space="preserve">was observed adjusting their bowing technique to produce shorter, staccato notes when performing in these spaces to prevent auditory masking. Conversely, in modern glass-walled venues like the Guangzhou Opera House designs, sustained legato lines were preferred.</w:t>
      </w:r>
    </w:p>
    <w:bookmarkEnd w:id="24"/>
    <w:bookmarkStart w:id="25" w:name="Xec7f487dbe45ab9a2b951519a47c4d928ffc3fc"/>
    <w:p>
      <w:pPr>
        <w:pStyle w:val="Heading3"/>
      </w:pPr>
      <w:r>
        <w:rPr>
          <w:bCs/>
          <w:b/>
        </w:rPr>
        <w:t xml:space="preserve">B. Harmonic Synthesis and Cultural Resonance</w:t>
      </w:r>
    </w:p>
    <w:p>
      <w:pPr>
        <w:pStyle w:val="FirstParagraph"/>
      </w:pPr>
      <w:r>
        <w:t xml:space="preserve">The most significant finding relates to the fusion of styles. When the</w:t>
      </w:r>
      <w:r>
        <w:t xml:space="preserve"> </w:t>
      </w:r>
      <w:hyperlink w:anchor="Xa39a3ee5e6b4b0d3255bfef95601890afd80709">
        <w:r>
          <w:rPr>
            <w:rStyle w:val="Hyperlink"/>
          </w:rPr>
          <w:t xml:space="preserve">Musician</w:t>
        </w:r>
      </w:hyperlink>
      <w:r>
        <w:t xml:space="preserve"> </w:t>
      </w:r>
      <w:r>
        <w:t xml:space="preserve">incorporated pentatonic scales characteristic of Cantonese folk music into Western chord progressions, audience engagement metrics increased by 40% compared to purely Western repertoire. This suggests that a</w:t>
      </w:r>
      <w:r>
        <w:t xml:space="preserve"> </w:t>
      </w:r>
      <w:hyperlink w:anchor="Xa39a3ee5e6b4b0d3255bfef95601890afd80709">
        <w:r>
          <w:rPr>
            <w:rStyle w:val="Hyperlink"/>
          </w:rPr>
          <w:t xml:space="preserve">Musician</w:t>
        </w:r>
      </w:hyperlink>
      <w:r>
        <w:t xml:space="preserve"> </w:t>
      </w:r>
      <w:r>
        <w:t xml:space="preserve">in</w:t>
      </w:r>
      <w:r>
        <w:t xml:space="preserve"> </w:t>
      </w:r>
      <w:r>
        <w:rPr>
          <w:iCs/>
          <w:i/>
        </w:rPr>
        <w:t xml:space="preserve">China Guangzhou</w:t>
      </w:r>
      <w:r>
        <w:t xml:space="preserve"> </w:t>
      </w:r>
      <w:r>
        <w:t xml:space="preserve">achieves greater impact when acknowledging local musical heritage.</w:t>
      </w:r>
    </w:p>
    <w:p>
      <w:pPr>
        <w:pStyle w:val="BodyText"/>
      </w:pPr>
      <w:r>
        <w:rPr>
          <w:bCs/>
          <w:b/>
        </w:rPr>
        <w:t xml:space="preserve">Metric</w:t>
      </w:r>
    </w:p>
    <w:p>
      <w:pPr>
        <w:pStyle w:val="BodyText"/>
      </w:pPr>
      <w:r>
        <w:rPr>
          <w:bCs/>
          <w:b/>
        </w:rPr>
        <w:t xml:space="preserve">Pure Western Repertoire (Control)</w:t>
      </w:r>
    </w:p>
    <w:p>
      <w:pPr>
        <w:pStyle w:val="BodyText"/>
      </w:pPr>
      <w:r>
        <w:rPr>
          <w:bCs/>
          <w:b/>
        </w:rPr>
        <w:t xml:space="preserve">Fusion Repertoire (Experimental)</w:t>
      </w:r>
    </w:p>
    <w:p>
      <w:pPr>
        <w:pStyle w:val="BodyText"/>
      </w:pPr>
      <w:r>
        <w:t xml:space="preserve">Audience Retention Rate</w:t>
      </w:r>
    </w:p>
    <w:p>
      <w:pPr>
        <w:pStyle w:val="BodyText"/>
      </w:pPr>
      <w:r>
        <w:t xml:space="preserve">78%</w:t>
      </w:r>
    </w:p>
    <w:p>
      <w:pPr>
        <w:pStyle w:val="BodyText"/>
      </w:pPr>
      <w:r>
        <w:t xml:space="preserve">%</w:t>
      </w:r>
    </w:p>
    <w:p>
      <w:pPr>
        <w:pStyle w:val="BodyText"/>
      </w:pPr>
      <w:r>
        <w:t xml:space="preserve">&gt;92%&gt;%&gt;%92%</w:t>
      </w:r>
    </w:p>
    <w:p>
      <w:pPr>
        <w:pStyle w:val="BodyText"/>
      </w:pPr>
      <w:r>
        <w:t xml:space="preserve">This data underscores the necessity for a</w:t>
      </w:r>
      <w:r>
        <w:t xml:space="preserve"> </w:t>
      </w:r>
      <w:hyperlink w:anchor="Xa39a3ee5e6b4b0d3255bfef95601890afd80709">
        <w:r>
          <w:rPr>
            <w:rStyle w:val="Hyperlink"/>
          </w:rPr>
          <w:t xml:space="preserve">Musician</w:t>
        </w:r>
      </w:hyperlink>
      <w:r>
        <w:t xml:space="preserve"> </w:t>
      </w:r>
      <w:r>
        <w:t xml:space="preserve">in</w:t>
      </w:r>
      <w:r>
        <w:t xml:space="preserve"> </w:t>
      </w:r>
      <w:r>
        <w:rPr>
          <w:iCs/>
          <w:i/>
        </w:rPr>
        <w:t xml:space="preserve">China Guangzhou</w:t>
      </w:r>
      <w:r>
        <w:t xml:space="preserve"> </w:t>
      </w:r>
      <w:r>
        <w:t xml:space="preserve">to be culturally literate.</w:t>
      </w:r>
    </w:p>
    <w:p>
      <w:pPr>
        <w:pStyle w:val="BodyText"/>
      </w:pPr>
      <w:r>
        <w:t xml:space="preserve">&gt;</w:t>
      </w:r>
    </w:p>
    <w:p>
      <w:pPr>
        <w:pStyle w:val="BodyText"/>
      </w:pPr>
      <w:r>
        <w:t xml:space="preserve">Social Media Engagement (Local Platforms)</w:t>
      </w:r>
    </w:p>
    <w:p>
      <w:pPr>
        <w:pStyle w:val="BodyText"/>
      </w:pPr>
      <w:r>
        <w:t xml:space="preserve">Moderate</w:t>
      </w:r>
    </w:p>
    <w:p>
      <w:pPr>
        <w:pStyle w:val="BodyText"/>
      </w:pPr>
      <w:r>
        <w:t xml:space="preserve">&gt;%&gt;%High&gt;</w:t>
      </w:r>
    </w:p>
    <w:p>
      <w:pPr>
        <w:pStyle w:val="BodyText"/>
      </w:pPr>
      <w:r>
        <w:t xml:space="preserve">Fusion pieces generated significantly more shares on WeChat and Douyin, platforms dominant in</w:t>
      </w:r>
      <w:r>
        <w:t xml:space="preserve"> </w:t>
      </w:r>
      <w:r>
        <w:rPr>
          <w:iCs/>
          <w:i/>
        </w:rPr>
        <w:t xml:space="preserve">China Guangzhou</w:t>
      </w:r>
      <w:r>
        <w:t xml:space="preserve">.</w:t>
      </w:r>
    </w:p>
    <w:p>
      <w:pPr>
        <w:pStyle w:val="BodyText"/>
      </w:pPr>
      <w:r>
        <w:t xml:space="preserve">&gt;</w:t>
      </w:r>
    </w:p>
    <w:p>
      <w:pPr>
        <w:pStyle w:val="BodyText"/>
      </w:pPr>
      <w:r>
        <w:t xml:space="preserve">Critique from Local Experts</w:t>
      </w:r>
    </w:p>
    <w:p>
      <w:pPr>
        <w:pStyle w:val="BodyText"/>
      </w:pPr>
      <w:r>
        <w:t xml:space="preserve">&gt;%&gt;%"Technical but distant"&gt;</w:t>
      </w:r>
    </w:p>
    <w:p>
      <w:pPr>
        <w:pStyle w:val="BodyText"/>
      </w:pPr>
      <w:r>
        <w:t xml:space="preserve">"Emotionally resonant and respectful of tradition"&gt;</w:t>
      </w:r>
    </w:p>
    <w:p>
      <w:pPr>
        <w:pStyle w:val="BodyText"/>
      </w:pPr>
      <w:r>
        <w:t xml:space="preserve">&gt;</w:t>
      </w:r>
    </w:p>
    <w:bookmarkEnd w:id="25"/>
    <w:bookmarkEnd w:id="26"/>
    <w:bookmarkStart w:id="27" w:name="X02c03818f4631f1736fd3b2524decbafa25e77b"/>
    <w:p>
      <w:pPr>
        <w:pStyle w:val="Heading2"/>
      </w:pPr>
      <w:r>
        <w:rPr>
          <w:bCs/>
          <w:b/>
        </w:rPr>
        <w:t xml:space="preserve">IV. Discussion: The Role of the Musician in China Guangzhou</w:t>
      </w:r>
    </w:p>
    <w:p>
      <w:pPr>
        <w:pStyle w:val="FirstParagraph"/>
      </w:pPr>
      <w:r>
        <w:t xml:space="preserve">The role of a</w:t>
      </w:r>
      <w:r>
        <w:t xml:space="preserve"> </w:t>
      </w:r>
      <w:hyperlink w:anchor="Xa39a3ee5e6b4b0d3255bfef95601890afd80709">
        <w:r>
          <w:rPr>
            <w:rStyle w:val="Hyperlink"/>
          </w:rPr>
          <w:t xml:space="preserve">Musician</w:t>
        </w:r>
      </w:hyperlink>
      <w:r>
        <w:t xml:space="preserve"> </w:t>
      </w:r>
      <w:r>
        <w:t xml:space="preserve">extends beyond entertainment; it is a form of cultural diplomacy. In</w:t>
      </w:r>
      <w:r>
        <w:t xml:space="preserve"> </w:t>
      </w:r>
      <w:r>
        <w:rPr>
          <w:iCs/>
          <w:i/>
        </w:rPr>
        <w:t xml:space="preserve">China Guangzhou</w:t>
      </w:r>
      <w:r>
        <w:t xml:space="preserve">, a city with deep historical roots yet rapid modernization, the audience appreciates artists who demonstrate respect for local traditions while offering global perspectives.</w:t>
      </w:r>
    </w:p>
    <w:p>
      <w:pPr>
        <w:pStyle w:val="BodyText"/>
      </w:pPr>
      <w:r>
        <w:t xml:space="preserve">The observations confirm that a</w:t>
      </w:r>
      <w:r>
        <w:t xml:space="preserve"> </w:t>
      </w:r>
      <w:hyperlink w:anchor="Xa39a3ee5e6b4b0d3255bfef95601890afd80709">
        <w:r>
          <w:rPr>
            <w:rStyle w:val="Hyperlink"/>
          </w:rPr>
          <w:t xml:space="preserve">Musician</w:t>
        </w:r>
      </w:hyperlink>
      <w:r>
        <w:t xml:space="preserve"> </w:t>
      </w:r>
      <w:r>
        <w:t xml:space="preserve">must possess "cultural agility." This involves:</w:t>
      </w:r>
    </w:p>
    <w:p>
      <w:pPr>
        <w:numPr>
          <w:ilvl w:val="0"/>
          <w:numId w:val="1002"/>
        </w:numPr>
        <w:pStyle w:val="Compact"/>
      </w:pPr>
      <w:r>
        <w:rPr>
          <w:bCs/>
          <w:b/>
        </w:rPr>
        <w:t xml:space="preserve">Linguistic Sensitivity:</w:t>
      </w:r>
      <w:r>
        <w:t xml:space="preserve"> </w:t>
      </w:r>
      <w:r>
        <w:t xml:space="preserve">Even if speaking Mandarin or English, understanding Cantonese tonalities aids in musical phrasing.</w:t>
      </w:r>
    </w:p>
    <w:p>
      <w:pPr>
        <w:numPr>
          <w:ilvl w:val="0"/>
          <w:numId w:val="1002"/>
        </w:numPr>
        <w:pStyle w:val="Compact"/>
      </w:pPr>
      <w:r>
        <w:rPr>
          <w:bCs/>
          <w:b/>
        </w:rPr>
        <w:t xml:space="preserve">Social Humility:</w:t>
      </w:r>
      <w:r>
        <w:t xml:space="preserve"> </w:t>
      </w:r>
      <w:r>
        <w:t xml:space="preserve">Engaging with local communities before performing builds trust. The</w:t>
      </w:r>
      <w:r>
        <w:t xml:space="preserve"> </w:t>
      </w:r>
      <w:hyperlink w:anchor="Xa39a3ee5e6b4b0d3255bfef95601890afd80709">
        <w:r>
          <w:rPr>
            <w:rStyle w:val="Hyperlink"/>
          </w:rPr>
          <w:t xml:space="preserve">Musician</w:t>
        </w:r>
      </w:hyperlink>
      <w:r>
        <w:t xml:space="preserve"> </w:t>
      </w:r>
      <w:r>
        <w:t xml:space="preserve">was seen attending local community gatherings, which significantly improved their reception at formal concerts.</w:t>
      </w:r>
    </w:p>
    <w:p>
      <w:pPr>
        <w:numPr>
          <w:ilvl w:val="0"/>
          <w:numId w:val="1002"/>
        </w:numPr>
      </w:pPr>
      <w:r>
        <w:t xml:space="preserve">Tech Integration:</w:t>
      </w:r>
    </w:p>
    <w:p>
      <w:pPr>
        <w:numPr>
          <w:ilvl w:val="0"/>
          <w:numId w:val="1000"/>
        </w:numPr>
      </w:pPr>
      <w:r>
        <w:t xml:space="preserve">The use of digital tools by the</w:t>
      </w:r>
      <w:r>
        <w:t xml:space="preserve"> </w:t>
      </w:r>
      <w:hyperlink w:anchor="Xa39a3ee5e6b4b0d3255bfef95601890afd80709">
        <w:r>
          <w:rPr>
            <w:rStyle w:val="Hyperlink"/>
          </w:rPr>
          <w:t xml:space="preserve">Musician</w:t>
        </w:r>
      </w:hyperlink>
      <w:r>
        <w:t xml:space="preserve"> </w:t>
      </w:r>
      <w:r>
        <w:t xml:space="preserve">to distribute content via Chinese social media platforms proved essential. Without this adaptation, the reach of a</w:t>
      </w:r>
      <w:r>
        <w:t xml:space="preserve"> </w:t>
      </w:r>
      <w:hyperlink w:anchor="Xa39a3ee5e6b4b0d3255bfef95601890afd80709">
        <w:r>
          <w:rPr>
            <w:rStyle w:val="Hyperlink"/>
          </w:rPr>
          <w:t xml:space="preserve">Musician</w:t>
        </w:r>
      </w:hyperlink>
      <w:r>
        <w:t xml:space="preserve"> </w:t>
      </w:r>
      <w:r>
        <w:t xml:space="preserve">in</w:t>
      </w:r>
      <w:r>
        <w:t xml:space="preserve"> </w:t>
      </w:r>
      <w:r>
        <w:rPr>
          <w:iCs/>
          <w:i/>
        </w:rPr>
        <w:t xml:space="preserve">China Guangzhou</w:t>
      </w:r>
      <w:r>
        <w:t xml:space="preserve"> </w:t>
      </w:r>
      <w:r>
        <w:t xml:space="preserve">would be severely limited.</w:t>
      </w:r>
    </w:p>
    <w:p>
      <w:pPr>
        <w:pStyle w:val="FirstParagraph"/>
      </w:pPr>
      <w:r>
        <w:t xml:space="preserve">&gt;</w:t>
      </w:r>
    </w:p>
    <w:bookmarkEnd w:id="27"/>
    <w:bookmarkStart w:id="28" w:name="v.-conclusion-and-recommendations"/>
    <w:p>
      <w:pPr>
        <w:pStyle w:val="Heading2"/>
      </w:pPr>
      <w:r>
        <w:rPr>
          <w:bCs/>
          <w:b/>
        </w:rPr>
        <w:t xml:space="preserve">V. Conclusion and Recommendations</w:t>
      </w:r>
    </w:p>
    <w:p>
      <w:pPr>
        <w:pStyle w:val="FirstParagraph"/>
      </w:pPr>
      <w:r>
        <w:t xml:space="preserve">This laboratory report concludes that the performance of a</w:t>
      </w:r>
      <w:r>
        <w:t xml:space="preserve"> </w:t>
      </w:r>
      <w:hyperlink w:anchor="Xa39a3ee5e6b4b0d3255bfef95601890afd80709">
        <w:r>
          <w:rPr>
            <w:rStyle w:val="Hyperlink"/>
          </w:rPr>
          <w:t xml:space="preserve">Musician</w:t>
        </w:r>
      </w:hyperlink>
      <w:r>
        <w:t xml:space="preserve"> </w:t>
      </w:r>
      <w:r>
        <w:t xml:space="preserve">in</w:t>
      </w:r>
      <w:r>
        <w:t xml:space="preserve"> </w:t>
      </w:r>
      <w:r>
        <w:rPr>
          <w:iCs/>
          <w:i/>
        </w:rPr>
        <w:t xml:space="preserve">China Guangzhou</w:t>
      </w:r>
      <w:r>
        <w:t xml:space="preserve">, while potentially challenging, yields profound cultural and artistic rewards when approached with adaptability. The data strongly supports the hypothesis that fusion of musical styles enhances audience connection. It is recommended that future programs for artists visiting</w:t>
      </w:r>
      <w:r>
        <w:t xml:space="preserve"> </w:t>
      </w:r>
      <w:r>
        <w:rPr>
          <w:iCs/>
          <w:i/>
        </w:rPr>
        <w:t xml:space="preserve">China Guangzhou</w:t>
      </w:r>
      <w:r>
        <w:t xml:space="preserve"> </w:t>
      </w:r>
      <w:r>
        <w:t xml:space="preserve">include mandatory cultural orientation courses focused on Cantonese history and music theory.</w:t>
      </w:r>
    </w:p>
    <w:p>
      <w:pPr>
        <w:pStyle w:val="BodyText"/>
      </w:pPr>
      <w:r>
        <w:t xml:space="preserve">The</w:t>
      </w:r>
      <w:r>
        <w:t xml:space="preserve"> </w:t>
      </w:r>
      <w:hyperlink w:anchor="Xa39a3ee5e6b4b0d3255bfef95601890afd80709">
        <w:r>
          <w:rPr>
            <w:rStyle w:val="Hyperlink"/>
          </w:rPr>
          <w:t xml:space="preserve">Musician</w:t>
        </w:r>
      </w:hyperlink>
      <w:r>
        <w:t xml:space="preserve"> </w:t>
      </w:r>
      <w:r>
        <w:t xml:space="preserve">serves as a bridge. When this bridge is built with respect for the local context of</w:t>
      </w:r>
      <w:r>
        <w:t xml:space="preserve"> </w:t>
      </w:r>
      <w:r>
        <w:rPr>
          <w:iCs/>
          <w:i/>
        </w:rPr>
        <w:t xml:space="preserve">China Guangzhou</w:t>
      </w:r>
      <w:r>
        <w:t xml:space="preserve">, it facilitates a richer, more inclusive musical experience for all parties involved. The success of Subject M-7 demonstrates that technical skill must be paired with cultural empathy.</w:t>
      </w:r>
    </w:p>
    <w:bookmarkEnd w:id="28"/>
    <w:bookmarkStart w:id="29" w:name="vi.-references-and-appendices"/>
    <w:p>
      <w:pPr>
        <w:pStyle w:val="Heading2"/>
      </w:pPr>
      <w:r>
        <w:rPr>
          <w:bCs/>
          <w:b/>
        </w:rPr>
        <w:t xml:space="preserve">VI. References and Appendices</w:t>
      </w:r>
    </w:p>
    <w:p>
      <w:pPr>
        <w:pStyle w:val="FirstParagraph"/>
      </w:pPr>
      <w:r>
        <w:rPr>
          <w:iCs/>
          <w:i/>
        </w:rPr>
        <w:t xml:space="preserve">Note: All raw audio files from the</w:t>
      </w:r>
      <w:r>
        <w:rPr>
          <w:iCs/>
          <w:i/>
        </w:rPr>
        <w:t xml:space="preserve"> </w:t>
      </w:r>
      <w:hyperlink w:anchor="Xa39a3ee5e6b4b0d3255bfef95601890afd80709">
        <w:r>
          <w:rPr>
            <w:rStyle w:val="Hyperlink"/>
            <w:iCs/>
            <w:i/>
          </w:rPr>
          <w:t xml:space="preserve">Musician</w:t>
        </w:r>
      </w:hyperlink>
      <w:r>
        <w:rPr>
          <w:iCs/>
          <w:i/>
        </w:rPr>
        <w:t xml:space="preserve">'s rehearsals in</w:t>
      </w:r>
      <w:r>
        <w:rPr>
          <w:iCs/>
          <w:i/>
        </w:rPr>
        <w:t xml:space="preserve"> </w:t>
      </w:r>
      <w:r>
        <w:rPr>
          <w:iCs/>
          <w:i/>
          <w:iCs/>
          <w:i/>
        </w:rPr>
        <w:t xml:space="preserve">China Guangzhou</w:t>
      </w:r>
      <w:r>
        <w:rPr>
          <w:iCs/>
          <w:i/>
        </w:rPr>
        <w:t xml:space="preserve">, including spectrograms of the fusion pieces, are archived in the Lab Database under Project ID 8094-CZG. Video recordings of audience interactions and feedback sessions are available for review by authorized personnel only.</w:t>
      </w:r>
    </w:p>
    <w:p>
      <w:pPr>
        <w:pStyle w:val="BodyText"/>
      </w:pPr>
      <w:r>
        <w:rPr>
          <w:bCs/>
          <w:b/>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Acoustic and Cultural Dynamics of a Musician in China Guangzhou</dc:title>
  <dc:creator/>
  <dc:language>en</dc:language>
  <cp:keywords/>
  <dcterms:created xsi:type="dcterms:W3CDTF">2026-07-29T14:28:16Z</dcterms:created>
  <dcterms:modified xsi:type="dcterms:W3CDTF">2026-07-29T14:28:16Z</dcterms:modified>
</cp:coreProperties>
</file>

<file path=docProps/custom.xml><?xml version="1.0" encoding="utf-8"?>
<Properties xmlns="http://schemas.openxmlformats.org/officeDocument/2006/custom-properties" xmlns:vt="http://schemas.openxmlformats.org/officeDocument/2006/docPropsVTypes"/>
</file>