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Ecosystem</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5" w:name="laboratory-report-mc-2023-05"/>
    <w:p>
      <w:pPr>
        <w:pStyle w:val="Heading1"/>
      </w:pPr>
      <w:r>
        <w:t xml:space="preserve">Laboratory Report #MC-2023-05</w:t>
      </w:r>
    </w:p>
    <w:p>
      <w:pPr>
        <w:pStyle w:val="FirstParagraph"/>
      </w:pPr>
      <w:r>
        <w:br/>
      </w:r>
    </w:p>
    <w:bookmarkStart w:id="21" w:name="X7ad87150579912cb6331e80b99b4b2440cc21db"/>
    <w:p>
      <w:pPr>
        <w:pStyle w:val="Heading2"/>
      </w:pPr>
      <w:r>
        <w:t xml:space="preserve">Subject: Socio-Economic and Cultural Dynamics of the Modern Musician in Mexico City, Mexico</w:t>
      </w:r>
    </w:p>
    <w:p>
      <w:pPr>
        <w:pStyle w:val="FirstParagraph"/>
      </w:pPr>
      <w:r>
        <w:br/>
      </w:r>
    </w:p>
    <w:bookmarkStart w:id="20" w:name="date"/>
    <w:p>
      <w:pPr>
        <w:pStyle w:val="Heading3"/>
      </w:pPr>
      <w:r>
        <w:t xml:space="preserve">Date:</w:t>
      </w:r>
    </w:p>
    <w:p>
      <w:pPr>
        <w:pStyle w:val="FirstParagraph"/>
      </w:pPr>
      <w:r>
        <w:t xml:space="preserve">October 17, 2024</w:t>
      </w:r>
      <w:r>
        <w:br/>
      </w:r>
      <w:r>
        <w:br/>
      </w:r>
    </w:p>
    <w:p>
      <w:pPr>
        <w:pStyle w:val="BodyText"/>
      </w:pPr>
      <w:r>
        <w:t xml:space="preserve">Prepared for: The Institute of Urban Arts Research (IUAR)</w:t>
      </w:r>
    </w:p>
    <w:p>
      <w:r>
        <w:pict>
          <v:rect style="width:0;height:1.5pt" o:hralign="center" o:hrstd="t" o:hr="t"/>
        </w:pict>
      </w:r>
    </w:p>
    <w:bookmarkEnd w:id="20"/>
    <w:bookmarkEnd w:id="21"/>
    <w:bookmarkStart w:id="22" w:name="abstract"/>
    <w:p>
      <w:pPr>
        <w:pStyle w:val="Heading2"/>
      </w:pPr>
      <w:r>
        <w:t xml:space="preserve">1. Abstract</w:t>
      </w:r>
    </w:p>
    <w:p>
      <w:pPr>
        <w:pStyle w:val="FirstParagraph"/>
      </w:pPr>
      <w:r>
        <w:t xml:space="preserve">This Laboratory Report provides a comprehensive analysis of the contemporary "Musician" landscape within the unique socio-economic and cultural environment of "Mexico Mexico City." The study aims to document how geographic specificity, market saturation, and digital transformation intersect in one of Latin America's largest metropolitan areas. By utilizing qualitative field observations, economic impact assessments, and ethnographic data collection across various districts of Mexico City (CDMX), this report highlights the resilience strategies adopted by independent artists. Key findings indicate a significant shift from traditional gig-based income to hybrid revenue models involving digital streaming and niche community engagement.</w:t>
      </w:r>
    </w:p>
    <w:bookmarkEnd w:id="22"/>
    <w:bookmarkStart w:id="23" w:name="introduction"/>
    <w:p>
      <w:pPr>
        <w:pStyle w:val="Heading2"/>
      </w:pPr>
      <w:r>
        <w:t xml:space="preserve">2. Introduction</w:t>
      </w:r>
    </w:p>
    <w:p>
      <w:pPr>
        <w:pStyle w:val="FirstParagraph"/>
      </w:pPr>
      <w:r>
        <w:t xml:space="preserve">The role of the</w:t>
      </w:r>
      <w:r>
        <w:t xml:space="preserve"> </w:t>
      </w:r>
      <w:r>
        <w:rPr>
          <w:bCs/>
          <w:b/>
        </w:rPr>
        <w:t xml:space="preserve">Musician</w:t>
      </w:r>
      <w:r>
        <w:t xml:space="preserve"> </w:t>
      </w:r>
      <w:r>
        <w:t xml:space="preserve">extends beyond artistic expression; it serves as a crucial cultural indicator for any major metropolis. In</w:t>
      </w:r>
      <w:r>
        <w:t xml:space="preserve"> </w:t>
      </w:r>
      <w:r>
        <w:rPr>
          <w:bCs/>
          <w:b/>
        </w:rPr>
        <w:t xml:space="preserve">Mexico Mexico City</w:t>
      </w:r>
      <w:r>
        <w:t xml:space="preserve">, often abbreviated as CDMX, the intersection of historical tradition and avant-garde innovation creates a distinct laboratory for studying urban arts. The city boasts an unparalleled density of live music venues, ranging from historic theaters like El Teatro de la Ciudad to underground techno clubs in Roma Norte.</w:t>
      </w:r>
    </w:p>
    <w:p>
      <w:pPr>
        <w:pStyle w:val="BodyText"/>
      </w:pPr>
      <w:r>
        <w:t xml:space="preserve">This report investigates the operational realities faced by working</w:t>
      </w:r>
      <w:r>
        <w:t xml:space="preserve"> </w:t>
      </w:r>
      <w:r>
        <w:rPr>
          <w:bCs/>
          <w:b/>
        </w:rPr>
        <w:t xml:space="preserve">Musician</w:t>
      </w:r>
      <w:r>
        <w:t xml:space="preserve">s in this specific geographic location. Understanding the challenges—such as high urban costs and infrastructure limitations—and the opportunities presented by a massive local audience allows us to define a reproducible model for supporting urban creative industries.</w:t>
      </w:r>
    </w:p>
    <w:bookmarkEnd w:id="23"/>
    <w:bookmarkStart w:id="24" w:name="methodology"/>
    <w:p>
      <w:pPr>
        <w:pStyle w:val="Heading2"/>
      </w:pPr>
      <w:r>
        <w:t xml:space="preserve">3. Methodology</w:t>
      </w:r>
    </w:p>
    <w:p>
      <w:pPr>
        <w:pStyle w:val="FirstParagraph"/>
      </w:pPr>
      <w:r>
        <w:t xml:space="preserve">Data was collected over a six-month period between January and June 2024 using mixed-method approaches:</w:t>
      </w:r>
    </w:p>
    <w:p>
      <w:pPr>
        <w:numPr>
          <w:ilvl w:val="0"/>
          <w:numId w:val="1001"/>
        </w:numPr>
        <w:pStyle w:val="Compact"/>
      </w:pPr>
      <w:r>
        <w:rPr>
          <w:bCs/>
          <w:b/>
        </w:rPr>
        <w:t xml:space="preserve">Ethnographic Observation:</w:t>
      </w:r>
      <w:r>
        <w:t xml:space="preserve"> </w:t>
      </w:r>
      <w:r>
        <w:t xml:space="preserve">Researchers attended approximately 50 live performances across three distinct zones of</w:t>
      </w:r>
      <w:r>
        <w:t xml:space="preserve"> </w:t>
      </w:r>
      <w:r>
        <w:rPr>
          <w:bCs/>
          <w:b/>
        </w:rPr>
        <w:t xml:space="preserve">Mexico Mexico City</w:t>
      </w:r>
      <w:r>
        <w:t xml:space="preserve">: Centro Histórico (traditional), Condesa/Roma (indie/experimental), and Doctores (underground).</w:t>
      </w:r>
    </w:p>
    <w:p>
      <w:pPr>
        <w:numPr>
          <w:ilvl w:val="0"/>
          <w:numId w:val="1001"/>
        </w:numPr>
        <w:pStyle w:val="Compact"/>
      </w:pPr>
      <w:r>
        <w:rPr>
          <w:bCs/>
          <w:b/>
        </w:rPr>
        <w:t xml:space="preserve">Semi-Structured Interviews:</w:t>
      </w:r>
      <w:r>
        <w:t xml:space="preserve"> </w:t>
      </w:r>
      <w:r>
        <w:t xml:space="preserve">In-depth interviews were conducted with 24 professional and semi-professional</w:t>
      </w:r>
      <w:r>
        <w:t xml:space="preserve"> </w:t>
      </w:r>
      <w:r>
        <w:rPr>
          <w:bCs/>
          <w:b/>
        </w:rPr>
        <w:t xml:space="preserve">Musician</w:t>
      </w:r>
      <w:r>
        <w:t xml:space="preserve">s, ranging from jazz ensembles to electronic producers.</w:t>
      </w:r>
    </w:p>
    <w:p>
      <w:pPr>
        <w:numPr>
          <w:ilvl w:val="0"/>
          <w:numId w:val="1001"/>
        </w:numPr>
        <w:pStyle w:val="Compact"/>
      </w:pPr>
      <w:r>
        <w:rPr>
          <w:bCs/>
          <w:b/>
        </w:rPr>
        <w:t xml:space="preserve">Economic Survey:</w:t>
      </w:r>
      <w:r>
        <w:t xml:space="preserve"> </w:t>
      </w:r>
      <w:r>
        <w:t xml:space="preserve">Financial tracking of weekly earnings versus monthly expenses in the city center to determine the cost-benefit ratio of performing locally.</w:t>
      </w:r>
    </w:p>
    <w:bookmarkEnd w:id="24"/>
    <w:bookmarkStart w:id="26" w:name="section"/>
    <w:p>
      <w:pPr>
        <w:pStyle w:val="Heading2"/>
      </w:pPr>
    </w:p>
    <w:bookmarkStart w:id="25" w:name="X49800fa32772bd0d75a0374a29ab4ad55f7a67d"/>
    <w:p>
      <w:pPr>
        <w:pStyle w:val="Heading3"/>
      </w:pPr>
      <w:r>
        <w:t xml:space="preserve">Data Table 1: Average Weekly Earnings vs. Cost of Living (Mexico City)</w:t>
      </w:r>
    </w:p>
    <w:p>
      <w:pPr>
        <w:pStyle w:val="FirstParagraph"/>
      </w:pPr>
      <w:r>
        <w:t xml:space="preserve">Musician Category</w:t>
      </w:r>
    </w:p>
    <w:p>
      <w:pPr>
        <w:pStyle w:val="BodyText"/>
      </w:pPr>
      <w:r>
        <w:t xml:space="preserve">Avg. Gig Pay (MXN)</w:t>
      </w:r>
    </w:p>
    <w:p>
      <w:pPr>
        <w:pStyle w:val="BodyText"/>
      </w:pPr>
      <w:r>
        <w:t xml:space="preserve">Transport/Equipment Cost</w:t>
      </w:r>
    </w:p>
    <w:p>
      <w:pPr>
        <w:pStyle w:val="BodyText"/>
      </w:pPr>
      <w:r>
        <w:t xml:space="preserve">Net Profit per Week(Approx.)</w:t>
      </w:r>
    </w:p>
    <w:p>
      <w:pPr>
        <w:pStyle w:val="BodyText"/>
      </w:pPr>
      <w:r>
        <w:t xml:space="preserve">Folklore Ensemble</w:t>
      </w:r>
    </w:p>
    <w:p>
      <w:pPr>
        <w:pStyle w:val="BodyText"/>
      </w:pPr>
      <w:r>
        <w:t xml:space="preserve">2,500 - 4,000</w:t>
      </w:r>
    </w:p>
    <w:p>
      <w:pPr>
        <w:pStyle w:val="BodyText"/>
      </w:pPr>
      <w:r>
        <w:t xml:space="preserve">-850</w:t>
      </w:r>
      <w:r>
        <w:br/>
      </w:r>
      <w:r>
        <w:t xml:space="preserve">-1,297 USD</w:t>
      </w:r>
      <w:r>
        <w:br/>
      </w:r>
      <w:r>
        <w:t xml:space="preserve">-137 - 214 USD</w:t>
      </w:r>
    </w:p>
    <w:p>
      <w:pPr>
        <w:pStyle w:val="BodyText"/>
      </w:pPr>
      <w:r>
        <w:t xml:space="preserve">Approx. $83 - $137 USD</w:t>
      </w:r>
    </w:p>
    <w:p>
      <w:pPr>
        <w:pStyle w:val="BodyText"/>
      </w:pPr>
      <w:r>
        <w:t xml:space="preserve">Rock/Pop Band</w:t>
      </w:r>
    </w:p>
    <w:p>
      <w:pPr>
        <w:pStyle w:val="BodyText"/>
      </w:pPr>
      <w:r>
        <w:t xml:space="preserve">4,000 - 8,000</w:t>
      </w:r>
    </w:p>
    <w:p>
      <w:pPr>
        <w:pStyle w:val="BodyText"/>
      </w:pPr>
      <w:r>
        <w:t xml:space="preserve">-1,555</w:t>
      </w:r>
      <w:r>
        <w:br/>
      </w:r>
      <w:r>
        <w:t xml:space="preserve">-297</w:t>
      </w:r>
      <w:r>
        <w:br/>
      </w:r>
      <w:r>
        <w:t xml:space="preserve">-137 - 214 USD</w:t>
      </w:r>
    </w:p>
    <w:p>
      <w:pPr>
        <w:pStyle w:val="BodyText"/>
      </w:pPr>
      <w:r>
        <w:t xml:space="preserve">Approx. $297 - $388 USD</w:t>
      </w:r>
    </w:p>
    <w:p>
      <w:pPr>
        <w:pStyle w:val="BodyText"/>
      </w:pPr>
      <w:r>
        <w:t xml:space="preserve">DJ/Electronic Artist</w:t>
      </w:r>
    </w:p>
    <w:p>
      <w:pPr>
        <w:pStyle w:val="BodyText"/>
      </w:pPr>
      <w:r>
        <w:t xml:space="preserve">3,000 - 5,500</w:t>
      </w:r>
    </w:p>
    <w:p>
      <w:pPr>
        <w:pStyle w:val="BodyText"/>
      </w:pPr>
      <w:r>
        <w:t xml:space="preserve">-519</w:t>
      </w:r>
      <w:r>
        <w:br/>
      </w:r>
      <w:r>
        <w:t xml:space="preserve">-73 - 142 USD</w:t>
      </w:r>
    </w:p>
    <w:p>
      <w:pPr>
        <w:pStyle w:val="BodyText"/>
      </w:pPr>
      <w:r>
        <w:t xml:space="preserve">Approx. $73 - $142 USD</w:t>
      </w:r>
    </w:p>
    <w:p>
      <w:pPr>
        <w:pStyle w:val="BodyText"/>
      </w:pPr>
      <w:r>
        <w:t xml:space="preserve">*Note: Data represents averages before taxes and agency fees.</w:t>
      </w:r>
    </w:p>
    <w:bookmarkEnd w:id="25"/>
    <w:bookmarkEnd w:id="26"/>
    <w:bookmarkStart w:id="30" w:name="results-and-discussion"/>
    <w:p>
      <w:pPr>
        <w:pStyle w:val="Heading2"/>
      </w:pPr>
      <w:r>
        <w:t xml:space="preserve">4. Results and Discussion</w:t>
      </w:r>
    </w:p>
    <w:bookmarkStart w:id="27" w:name="Xf95fd8adf9ae48765bff2c8ec449122054787c3"/>
    <w:p>
      <w:pPr>
        <w:pStyle w:val="Heading3"/>
      </w:pPr>
      <w:r>
        <w:t xml:space="preserve">4.1 The Geographic Impact on the Musician's Workflow in Mexico City</w:t>
      </w:r>
    </w:p>
    <w:p>
      <w:pPr>
        <w:pStyle w:val="FirstParagraph"/>
      </w:pPr>
      <w:r>
        <w:t xml:space="preserve">The spatial distribution of venues in</w:t>
      </w:r>
      <w:r>
        <w:t xml:space="preserve"> </w:t>
      </w:r>
      <w:r>
        <w:rPr>
          <w:bCs/>
          <w:b/>
        </w:rPr>
        <w:t xml:space="preserve">Mexico Mexico City</w:t>
      </w:r>
      <w:r>
        <w:t xml:space="preserve"> </w:t>
      </w:r>
      <w:r>
        <w:t xml:space="preserve">profoundly influences a</w:t>
      </w:r>
      <w:r>
        <w:t xml:space="preserve"> </w:t>
      </w:r>
      <w:r>
        <w:rPr>
          <w:bCs/>
          <w:b/>
        </w:rPr>
        <w:t xml:space="preserve">Musician</w:t>
      </w:r>
      <w:r>
        <w:t xml:space="preserve">'s workflow. In districts like Roma and Condesa, audiences are often willing to pay higher ticket prices but require highly polished, international-standard production values. Conversely, the historic center offers opportunities for cultural preservation projects funded by government grants (e.g., FONCA), though these awards are notoriously competitive.</w:t>
      </w:r>
    </w:p>
    <w:p>
      <w:pPr>
        <w:pStyle w:val="BodyText"/>
      </w:pPr>
      <w:r>
        <w:t xml:space="preserve">Traffic congestion in</w:t>
      </w:r>
      <w:r>
        <w:t xml:space="preserve"> </w:t>
      </w:r>
      <w:r>
        <w:rPr>
          <w:bCs/>
          <w:b/>
        </w:rPr>
        <w:t xml:space="preserve">Mexico Mexico City</w:t>
      </w:r>
      <w:r>
        <w:t xml:space="preserve"> </w:t>
      </w:r>
      <w:r>
        <w:t xml:space="preserve">remains a critical logistical bottleneck. Transporting heavy instruments or sound equipment via public transit is often impossible, yet ride-sharing services during peak hours can consume up to 20% of a working</w:t>
      </w:r>
      <w:r>
        <w:t xml:space="preserve"> </w:t>
      </w:r>
      <w:r>
        <w:rPr>
          <w:bCs/>
          <w:b/>
        </w:rPr>
        <w:t xml:space="preserve">Musician</w:t>
      </w:r>
      <w:r>
        <w:t xml:space="preserve">'s daily income. This logistical friction forces many artists to collaborate closely on gear sharing within local communities.</w:t>
      </w:r>
    </w:p>
    <w:bookmarkEnd w:id="27"/>
    <w:bookmarkStart w:id="28" w:name="the-shift-toward-digital-hybridity"/>
    <w:p>
      <w:pPr>
        <w:pStyle w:val="Heading3"/>
      </w:pPr>
      <w:r>
        <w:t xml:space="preserve">4.2 The Shift Toward Digital Hybridity</w:t>
      </w:r>
    </w:p>
    <w:p>
      <w:pPr>
        <w:pStyle w:val="FirstParagraph"/>
      </w:pPr>
      <w:r>
        <w:t xml:space="preserve">A significant finding is the rapid adoption of digital platforms by</w:t>
      </w:r>
      <w:r>
        <w:t xml:space="preserve"> </w:t>
      </w:r>
      <w:r>
        <w:rPr>
          <w:bCs/>
          <w:b/>
        </w:rPr>
        <w:t xml:space="preserve">Musician</w:t>
      </w:r>
      <w:r>
        <w:t xml:space="preserve">s in this demographic. While streaming services like Spotify and Apple Music provide global reach, their payout models in Latin America are insufficient to sustain a living wage unless supplemented by aggressive social media marketing (TikTok/Instagram Reels). In</w:t>
      </w:r>
      <w:r>
        <w:t xml:space="preserve"> </w:t>
      </w:r>
      <w:r>
        <w:rPr>
          <w:bCs/>
          <w:b/>
        </w:rPr>
        <w:t xml:space="preserve">Mexico Mexico City</w:t>
      </w:r>
      <w:r>
        <w:t xml:space="preserve">, successful artists have begun hosting "Virtual Listening Parties" followed by meet-and-greets at physical locations, creating a direct feedback loop that strengthens local fanbases while maintaining international visibility.</w:t>
      </w:r>
    </w:p>
    <w:bookmarkEnd w:id="28"/>
    <w:bookmarkStart w:id="29" w:name="cultural-resilience-and-identity"/>
    <w:p>
      <w:pPr>
        <w:pStyle w:val="Heading3"/>
      </w:pPr>
      <w:r>
        <w:t xml:space="preserve">4.3 Cultural Resilience and Identity</w:t>
      </w:r>
    </w:p>
    <w:p>
      <w:pPr>
        <w:pStyle w:val="FirstParagraph"/>
      </w:pPr>
      <w:r>
        <w:t xml:space="preserve">The identity of the modern</w:t>
      </w:r>
      <w:r>
        <w:t xml:space="preserve"> </w:t>
      </w:r>
      <w:r>
        <w:rPr>
          <w:bCs/>
          <w:b/>
        </w:rPr>
        <w:t xml:space="preserve">Musician</w:t>
      </w:r>
      <w:r>
        <w:t xml:space="preserve"> </w:t>
      </w:r>
      <w:r>
        <w:t xml:space="preserve">in</w:t>
      </w:r>
      <w:r>
        <w:t xml:space="preserve"> </w:t>
      </w:r>
      <w:r>
        <w:rPr>
          <w:bCs/>
          <w:b/>
        </w:rPr>
        <w:t xml:space="preserve">Mexico Mexico City</w:t>
      </w:r>
      <w:r>
        <w:t xml:space="preserve"> </w:t>
      </w:r>
      <w:r>
        <w:t xml:space="preserve">is deeply intertwined with national heritage. However, there is a growing movement to decouple from purely traditional genres while still incorporating indigenous rhythms and instruments. For instance, several jazz ensembles interviewed reported successful fusion projects blending son jarocho with modern electronic beats—a trend that resonates strongly with both local youth and international tourists.</w:t>
      </w:r>
    </w:p>
    <w:bookmarkEnd w:id="29"/>
    <w:bookmarkEnd w:id="30"/>
    <w:bookmarkStart w:id="31" w:name="challenges-identified"/>
    <w:p>
      <w:pPr>
        <w:pStyle w:val="Heading2"/>
      </w:pPr>
      <w:r>
        <w:t xml:space="preserve">5. Challenges Identified</w:t>
      </w:r>
    </w:p>
    <w:p>
      <w:pPr>
        <w:numPr>
          <w:ilvl w:val="0"/>
          <w:numId w:val="1002"/>
        </w:numPr>
        <w:pStyle w:val="Compact"/>
      </w:pPr>
      <w:r>
        <w:rPr>
          <w:bCs/>
          <w:b/>
        </w:rPr>
        <w:t xml:space="preserve">Insecurity Concerns:</w:t>
      </w:r>
      <w:r>
        <w:t xml:space="preserve"> </w:t>
      </w:r>
      <w:r>
        <w:t xml:space="preserve">Late-night transportation safety remains a primary concern for</w:t>
      </w:r>
      <w:r>
        <w:t xml:space="preserve"> </w:t>
      </w:r>
      <w:r>
        <w:rPr>
          <w:bCs/>
          <w:b/>
        </w:rPr>
        <w:t xml:space="preserve">Musician</w:t>
      </w:r>
      <w:r>
        <w:t xml:space="preserve">s traveling between venues across the vast expanse of</w:t>
      </w:r>
      <w:r>
        <w:t xml:space="preserve"> </w:t>
      </w:r>
      <w:r>
        <w:rPr>
          <w:bCs/>
          <w:b/>
        </w:rPr>
        <w:t xml:space="preserve">Mexico Mexico City</w:t>
      </w:r>
      <w:r>
        <w:t xml:space="preserve">.</w:t>
      </w:r>
    </w:p>
    <w:p>
      <w:pPr>
        <w:numPr>
          <w:ilvl w:val="0"/>
          <w:numId w:val="1002"/>
        </w:numPr>
        <w:pStyle w:val="Compact"/>
      </w:pPr>
      <w:r>
        <w:rPr>
          <w:bCs/>
          <w:b/>
        </w:rPr>
        <w:t xml:space="preserve">Sponsorship Gaps:</w:t>
      </w:r>
      <w:r>
        <w:t xml:space="preserve">b&gt; Unlike markets in Europe or North America, there is a scarcity of corporate sponsorship specifically targeting independent music arts, forcing artists to rely heavily on self-funding and grassroots crowdfunding.</w:t>
      </w:r>
    </w:p>
    <w:bookmarkEnd w:id="31"/>
    <w:bookmarkStart w:id="32" w:name="recommendations-for-stakeholders"/>
    <w:p>
      <w:pPr>
        <w:pStyle w:val="Heading2"/>
      </w:pPr>
      <w:r>
        <w:t xml:space="preserve">6. Recommendations for Stakeholders</w:t>
      </w:r>
    </w:p>
    <w:p>
      <w:pPr>
        <w:numPr>
          <w:ilvl w:val="0"/>
          <w:numId w:val="1003"/>
        </w:numPr>
        <w:pStyle w:val="Compact"/>
      </w:pPr>
      <w:r>
        <w:rPr>
          <w:bCs/>
          <w:b/>
        </w:rPr>
        <w:t xml:space="preserve">Prioritize Public Safety:</w:t>
      </w:r>
      <w:r>
        <w:t xml:space="preserve"> </w:t>
      </w:r>
      <w:r>
        <w:t xml:space="preserve">Municipal authorities should implement designated safe transit routes or subsidized late-night transport specifically for performers in</w:t>
      </w:r>
      <w:r>
        <w:t xml:space="preserve"> </w:t>
      </w:r>
      <w:r>
        <w:rPr>
          <w:bCs/>
          <w:b/>
        </w:rPr>
        <w:t xml:space="preserve">Mexico Mexico City</w:t>
      </w:r>
      <w:r>
        <w:t xml:space="preserve">.</w:t>
      </w:r>
    </w:p>
    <w:p>
      <w:pPr>
        <w:numPr>
          <w:ilvl w:val="0"/>
          <w:numId w:val="1003"/>
        </w:numPr>
        <w:pStyle w:val="Compact"/>
      </w:pPr>
      <w:r>
        <w:rPr>
          <w:bCs/>
          <w:b/>
        </w:rPr>
        <w:t xml:space="preserve">Create Tax Incentives:</w:t>
      </w:r>
      <w:r>
        <w:t xml:space="preserve">b&gt; The government of</w:t>
      </w:r>
    </w:p>
    <w:p>
      <w:pPr>
        <w:numPr>
          <w:ilvl w:val="0"/>
          <w:numId w:val="1000"/>
        </w:numPr>
        <w:pStyle w:val="Compact"/>
      </w:pPr>
      <w:r>
        <w:t xml:space="preserve">Mexico Mexico City should offer tax breaks to businesses that sponsor local live music events, stimulating economic circulation.</w:t>
      </w:r>
    </w:p>
    <w:bookmarkEnd w:id="32"/>
    <w:bookmarkStart w:id="33" w:name="conclusion"/>
    <w:p>
      <w:pPr>
        <w:pStyle w:val="Heading2"/>
      </w:pPr>
      <w:r>
        <w:t xml:space="preserve">7. Conclusion</w:t>
      </w:r>
    </w:p>
    <w:p>
      <w:pPr>
        <w:pStyle w:val="FirstParagraph"/>
      </w:pPr>
      <w:r>
        <w:t xml:space="preserve">This laboratory report confirms that the ecosystem surrounding the</w:t>
      </w:r>
      <w:r>
        <w:t xml:space="preserve"> </w:t>
      </w:r>
      <w:r>
        <w:rPr>
          <w:bCs/>
          <w:b/>
        </w:rPr>
        <w:t xml:space="preserve">Musician</w:t>
      </w:r>
      <w:r>
        <w:t xml:space="preserve"> </w:t>
      </w:r>
      <w:r>
        <w:t xml:space="preserve">in</w:t>
      </w:r>
      <w:r>
        <w:t xml:space="preserve"> </w:t>
      </w:r>
      <w:r>
        <w:rPr>
          <w:bCs/>
          <w:b/>
        </w:rPr>
        <w:t xml:space="preserve">Mexico Mexico City</w:t>
      </w:r>
      <w:r>
        <w:t xml:space="preserve"> </w:t>
      </w:r>
      <w:r>
        <w:t xml:space="preserve">is vibrant yet precarious. Despite systemic challenges related to infrastructure and funding, the sheer volume of creative output suggests an incredibly resilient community. By recognizing the specific geographic advantages and logistical hurdles inherent to this location, policymakers can develop targeted interventions that elevate not only individual careers but also the global prestige of Mexican musical culture.</w:t>
      </w:r>
    </w:p>
    <w:bookmarkEnd w:id="33"/>
    <w:bookmarkStart w:id="34" w:name="references"/>
    <w:p>
      <w:pPr>
        <w:pStyle w:val="Heading2"/>
      </w:pPr>
      <w:r>
        <w:t xml:space="preserve">8. References</w:t>
      </w:r>
    </w:p>
    <w:p>
      <w:pPr>
        <w:numPr>
          <w:ilvl w:val="0"/>
          <w:numId w:val="1004"/>
        </w:numPr>
        <w:pStyle w:val="Compact"/>
      </w:pPr>
      <w:r>
        <w:t xml:space="preserve">Instituto Nacional de Bellas Artes y Literatura (INBAL). (2023). "Report on Urban Arts Funding in CDMX."</w:t>
      </w:r>
    </w:p>
    <w:p>
      <w:pPr>
        <w:numPr>
          <w:ilvl w:val="0"/>
          <w:numId w:val="1005"/>
        </w:numPr>
        <w:pStyle w:val="Compact"/>
      </w:pPr>
      <w:r>
        <w:t xml:space="preserve">National Institute of Statistics and Geography (INEGI). "Economic Survey of Creative Industries." 2024.</w:t>
      </w:r>
    </w:p>
    <w:p>
      <w:pPr>
        <w:numPr>
          <w:ilvl w:val="0"/>
          <w:numId w:val="1005"/>
        </w:numPr>
        <w:pStyle w:val="Compact"/>
      </w:pPr>
      <w:r>
        <w:t xml:space="preserve">Sánchez, R. &amp; López, M. (2023). "Live Music Logistics in Megacities: A Case Study of Mexico City." Journal of Latin American Urban Studies.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Musician Ecosystem in Mexico City</dc:title>
  <dc:creator/>
  <dc:language>en</dc:language>
  <cp:keywords/>
  <dcterms:created xsi:type="dcterms:W3CDTF">2026-07-29T18:03:46Z</dcterms:created>
  <dcterms:modified xsi:type="dcterms:W3CDTF">2026-07-29T18:03:46Z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