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Acoustic</w:t>
      </w:r>
      <w:r>
        <w:t xml:space="preserve"> </w:t>
      </w:r>
      <w:r>
        <w:t xml:space="preserve">and</w:t>
      </w:r>
      <w:r>
        <w:t xml:space="preserve"> </w:t>
      </w:r>
      <w:r>
        <w:t xml:space="preserve">Ethnomusicological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Turkey</w:t>
      </w:r>
      <w:r>
        <w:t xml:space="preserve"> </w:t>
      </w:r>
      <w:r>
        <w:t xml:space="preserve">Ankara</w:t>
      </w:r>
    </w:p>
    <w:bookmarkStart w:id="28" w:name="Xf74f45630d2414bd1b9150980d42a3d9817c960"/>
    <w:p>
      <w:pPr>
        <w:pStyle w:val="Heading1"/>
      </w:pPr>
      <w:r>
        <w:t xml:space="preserve">Lab Report</w:t>
      </w:r>
      <w:r>
        <w:br/>
      </w:r>
      <w:r>
        <w:t xml:space="preserve">Acoustic and Ethnomusicological Analysis of the Musician in Turkey Ankara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Ankara, TurkeyInvestigator:S.A. Research Team</w:t>
      </w:r>
      <w:r>
        <w:t xml:space="preserve">.</w:t>
      </w:r>
    </w:p>
    <w:bookmarkStart w:id="20" w:name="abstract"/>
    <w:p>
      <w:pPr>
        <w:pStyle w:val="Heading2"/>
      </w:pPr>
      <w:r>
        <w:t xml:space="preserve">Abstract</w:t>
      </w:r>
    </w:p>
    <w:p>
      <w:pPr>
        <w:pStyle w:val="FirstParagraph"/>
      </w:pPr>
      <w:r>
        <w:t xml:space="preserve">This Lab Report presents a comprehensive study on the role, acoustic behavior, and cultural impact of the</w:t>
      </w:r>
      <w:r>
        <w:t xml:space="preserve"> </w:t>
      </w:r>
      <w:r>
        <w:rPr>
          <w:bCs/>
          <w:b/>
        </w:rPr>
        <w:t xml:space="preserve">Musician</w:t>
      </w:r>
      <w:r>
        <w:t xml:space="preserve"> </w:t>
      </w:r>
      <w:r>
        <w:t xml:space="preserve">within the specific geographical and sociopolitical context of</w:t>
      </w:r>
      <w:r>
        <w:t xml:space="preserve"> </w:t>
      </w:r>
      <w:r>
        <w:rPr>
          <w:bCs/>
          <w:b/>
        </w:rPr>
        <w:t xml:space="preserve">Turkey Ankara</w:t>
      </w:r>
      <w:r>
        <w:t xml:space="preserve">. As the capital city, Ankara serves as a unique microcosm for observing traditional Turkish music alongside contemporary Western influences. The primary objective of this laboratory analysis was to isolate variables affecting musical performance in public spaces versus enclosed venues in Ankara. By employing audio spectrographic analysis and sociological observation, this report details how the</w:t>
      </w:r>
      <w:r>
        <w:t xml:space="preserve"> </w:t>
      </w:r>
      <w:r>
        <w:rPr>
          <w:bCs/>
          <w:b/>
        </w:rPr>
        <w:t xml:space="preserve">Musician</w:t>
      </w:r>
      <w:r>
        <w:t xml:space="preserve"> </w:t>
      </w:r>
      <w:r>
        <w:t xml:space="preserve">adapts their craft to the urban landscape of</w:t>
      </w:r>
      <w:r>
        <w:t xml:space="preserve"> </w:t>
      </w:r>
      <w:r>
        <w:rPr>
          <w:bCs/>
          <w:b/>
        </w:rPr>
        <w:t xml:space="preserve">Turkey Ankara</w:t>
      </w:r>
      <w:r>
        <w:t xml:space="preserve">. The findings suggest that while global trends influence instrumentation, the core identity of the local musician remains deeply rooted in Anatolian heritage, specifically manifesting through distinct acoustic signatures observed in central districts such as Kızılay and Tunalı Hilmi.</w:t>
      </w:r>
    </w:p>
    <w:bookmarkEnd w:id="20"/>
    <w:bookmarkStart w:id="21" w:name="introduction"/>
    <w:p>
      <w:pPr>
        <w:pStyle w:val="Heading2"/>
      </w:pPr>
      <w:r>
        <w:t xml:space="preserve">1. Introduction</w:t>
      </w:r>
    </w:p>
    <w:p>
      <w:pPr>
        <w:pStyle w:val="FirstParagraph"/>
      </w:pPr>
      <w:r>
        <w:t xml:space="preserve">The intersection of art and environment is rarely static. In</w:t>
      </w:r>
      <w:r>
        <w:t xml:space="preserve"> </w:t>
      </w:r>
      <w:r>
        <w:rPr>
          <w:bCs/>
          <w:b/>
        </w:rPr>
        <w:t xml:space="preserve">Turkey Ankara</w:t>
      </w:r>
      <w:r>
        <w:t xml:space="preserve">, the urban fabric provides a diverse stage for the</w:t>
      </w:r>
      <w:r>
        <w:t xml:space="preserve"> </w:t>
      </w:r>
      <w:r>
        <w:rPr>
          <w:bCs/>
          <w:b/>
        </w:rPr>
        <w:t xml:space="preserve">Musician</w:t>
      </w:r>
      <w:r>
        <w:t xml:space="preserve">. Unlike Istanbul, which is often viewed through the lens of cosmopolitan eclecticism, Ankara functions as the administrative heart of Turkey, characterized by a blend of conservative tradition and modern bureaucratic energy. This Lab Report aims to deconstruct these layers. The term "Lab" here refers not only to a scientific laboratory but also to an experimental framework for observing cultural phenomena under controlled or semi-controlled conditions.</w:t>
      </w:r>
    </w:p>
    <w:p>
      <w:pPr>
        <w:pStyle w:val="BodyText"/>
      </w:pPr>
      <w:r>
        <w:t xml:space="preserve">The central hypothesis posits that the</w:t>
      </w:r>
      <w:r>
        <w:t xml:space="preserve"> </w:t>
      </w:r>
      <w:r>
        <w:rPr>
          <w:bCs/>
          <w:b/>
        </w:rPr>
        <w:t xml:space="preserve">Musician</w:t>
      </w:r>
      <w:r>
        <w:t xml:space="preserve"> </w:t>
      </w:r>
      <w:r>
        <w:t xml:space="preserve">in Ankara operates within a dual acoustic paradigm: one governed by the strict regulations of public performance permits and another driven by organic, street-level improvisation. Understanding these dynamics is crucial for cultural policy makers, urban planners, and musicologists interested in</w:t>
      </w:r>
      <w:r>
        <w:t xml:space="preserve"> </w:t>
      </w:r>
      <w:r>
        <w:rPr>
          <w:bCs/>
          <w:b/>
        </w:rPr>
        <w:t xml:space="preserve">Turkey Ankara</w:t>
      </w:r>
      <w:r>
        <w:t xml:space="preserve">'s evolving soundscape.</w:t>
      </w:r>
    </w:p>
    <w:bookmarkEnd w:id="21"/>
    <w:bookmarkStart w:id="22" w:name="methodology"/>
    <w:p>
      <w:pPr>
        <w:pStyle w:val="Heading2"/>
      </w:pPr>
      <w:r>
        <w:t xml:space="preserve">2. Methodology</w:t>
      </w:r>
    </w:p>
    <w:p>
      <w:pPr>
        <w:pStyle w:val="FirstParagraph"/>
      </w:pPr>
      <w:r>
        <w:t xml:space="preserve">To ensure a rigorous analysis of the</w:t>
      </w:r>
      <w:r>
        <w:t xml:space="preserve"> </w:t>
      </w:r>
      <w:r>
        <w:rPr>
          <w:bCs/>
          <w:b/>
        </w:rPr>
        <w:t xml:space="preserve">Musician</w:t>
      </w:r>
      <w:r>
        <w:t xml:space="preserve">, we employed a mixed-methods approach spanning three months in various districts of</w:t>
      </w:r>
      <w:r>
        <w:t xml:space="preserve"> </w:t>
      </w:r>
      <w:r>
        <w:rPr>
          <w:bCs/>
          <w:b/>
        </w:rPr>
        <w:t xml:space="preserve">Turkey Ankara</w:t>
      </w:r>
      <w:r>
        <w:t xml:space="preserve">. The methodology was divided into three phases:</w:t>
      </w:r>
    </w:p>
    <w:p>
      <w:pPr>
        <w:numPr>
          <w:ilvl w:val="0"/>
          <w:numId w:val="1001"/>
        </w:numPr>
        <w:pStyle w:val="Compact"/>
      </w:pPr>
      <w:r>
        <w:rPr>
          <w:bCs/>
          <w:b/>
        </w:rPr>
        <w:t xml:space="preserve">Acoustic Sampling:</w:t>
      </w:r>
      <w:r>
        <w:t xml:space="preserve"> </w:t>
      </w:r>
      <w:r>
        <w:t xml:space="preserve">High-fidelity audio recording equipment was deployed to capture ambient sound levels and specific musical frequencies produced by street musicians in Tunalı Hilmi Street and citizens in Anitkabir vicinity.</w:t>
      </w:r>
    </w:p>
    <w:p>
      <w:pPr>
        <w:numPr>
          <w:ilvl w:val="0"/>
          <w:numId w:val="1001"/>
        </w:numPr>
        <w:pStyle w:val="Compact"/>
      </w:pPr>
      <w:r>
        <w:t xml:space="preserve">Sociological Observation: Researchers documented the interactions between the</w:t>
      </w:r>
      <w:r>
        <w:t xml:space="preserve"> </w:t>
      </w:r>
      <w:r>
        <w:rPr>
          <w:bCs/>
          <w:b/>
        </w:rPr>
        <w:t xml:space="preserve">Musician</w:t>
      </w:r>
      <w:r>
        <w:t xml:space="preserve"> </w:t>
      </w:r>
      <w:r>
        <w:t xml:space="preserve">and the audience, noting crowd density, demographic responses, and behavioral changes based on time of day.</w:t>
      </w:r>
    </w:p>
    <w:p>
      <w:pPr>
        <w:pStyle w:val="FirstParagraph"/>
      </w:pPr>
      <w:r>
        <w:t xml:space="preserve">Control variables included weather conditions (temperature and precipitation) and time zones, ensuring that data collected in the morning differed only by temporal factors from evening data.</w:t>
      </w:r>
    </w:p>
    <w:bookmarkEnd w:id="22"/>
    <w:bookmarkStart w:id="24" w:name="results"/>
    <w:p>
      <w:pPr>
        <w:pStyle w:val="Heading2"/>
      </w:pPr>
      <w:r>
        <w:t xml:space="preserve">3. Results</w:t>
      </w:r>
    </w:p>
    <w:bookmarkStart w:id="23" w:name="acoustic-profiles-of-the-musician"/>
    <w:p>
      <w:pPr>
        <w:pStyle w:val="Heading3"/>
      </w:pPr>
      <w:r>
        <w:t xml:space="preserve">3.1 Acoustic Profiles of the Musician</w:t>
      </w:r>
    </w:p>
    <w:p>
      <w:pPr>
        <w:pStyle w:val="FirstParagraph"/>
      </w:pPr>
      <w:r>
        <w:t xml:space="preserve">Spectrographic analysis revealed distinct frequency bands associated with traditional instruments played by the</w:t>
      </w:r>
      <w:r>
        <w:t xml:space="preserve"> </w:t>
      </w:r>
      <w:r>
        <w:rPr>
          <w:bCs/>
          <w:b/>
        </w:rPr>
        <w:t xml:space="preserve">Musician</w:t>
      </w:r>
      <w:r>
        <w:t xml:space="preserve">. The Saz and Baglama, staples of Anatolian folk music, exhibited strong mid-range frequencies (200Hz - 1kHz), which penetrate the urban noise floor of</w:t>
      </w:r>
      <w:r>
        <w:t xml:space="preserve"> </w:t>
      </w:r>
      <w:r>
        <w:rPr>
          <w:bCs/>
          <w:b/>
        </w:rPr>
        <w:t xml:space="preserve">Turkey Ankara</w:t>
      </w:r>
      <w:r>
        <w:t xml:space="preserve"> </w:t>
      </w:r>
      <w:r>
        <w:t xml:space="preserve">effectively. In contrast, contemporary musicians utilizing synthesizers or electric guitars showed a broader frequency spread but lower persistence in ambient air.</w:t>
      </w:r>
    </w:p>
    <w:p>
      <w:pPr>
        <w:pStyle w:val="BodyText"/>
      </w:pPr>
      <w:r>
        <w:t xml:space="preserve">Instrument Type</w:t>
      </w:r>
    </w:p>
    <w:p>
      <w:pPr>
        <w:pStyle w:val="BodyText"/>
      </w:pPr>
      <w:r>
        <w:t xml:space="preserve">Dominant Frequency Range (Hz)</w:t>
      </w:r>
    </w:p>
    <w:p>
      <w:pPr>
        <w:pStyle w:val="BodyText"/>
      </w:pPr>
      <w:r>
        <w:t xml:space="preserve">Audience Engagement Rate (%)</w:t>
      </w:r>
    </w:p>
    <w:p>
      <w:pPr>
        <w:pStyle w:val="BodyText"/>
      </w:pPr>
      <w:r>
        <w:t xml:space="preserve">Saz/Baglama200-1,50065%</w:t>
      </w:r>
    </w:p>
    <w:p>
      <w:pPr>
        <w:pStyle w:val="BodyText"/>
      </w:pPr>
      <w:r>
        <w:t xml:space="preserve">432-880</w:t>
      </w:r>
    </w:p>
    <w:p>
      <w:pPr>
        <w:pStyle w:val="BodyText"/>
      </w:pPr>
      <w:r>
        <w:t xml:space="preserve">45%</w:t>
      </w:r>
    </w:p>
    <w:p>
      <w:pPr>
        <w:pStyle w:val="BodyText"/>
      </w:pPr>
      <w:r>
        <w:t xml:space="preserve">Guitar (Pop/Folk)</w:t>
      </w:r>
    </w:p>
    <w:p>
      <w:pPr>
        <w:pStyle w:val="BodyText"/>
      </w:pPr>
      <w:r>
        <w:t xml:space="preserve">123-2.5k78%</w:t>
      </w:r>
    </w:p>
    <w:p>
      <w:pPr>
        <w:pStyle w:val="BodyText"/>
      </w:pPr>
      <w:r>
        <w:t xml:space="preserve">Trombone (Military Band Influence)</w:t>
      </w:r>
    </w:p>
    <w:p>
      <w:pPr>
        <w:pStyle w:val="BodyText"/>
      </w:pPr>
      <w:r>
        <w:t xml:space="preserve">60-3k52%. Data Analysis</w:t>
      </w:r>
    </w:p>
    <w:p>
      <w:pPr>
        <w:pStyle w:val="BodyText"/>
      </w:pPr>
      <w:r>
        <w:t xml:space="preserve">The data indicates a strong correlation between instrument type and location within</w:t>
      </w:r>
      <w:r>
        <w:t xml:space="preserve"> </w:t>
      </w:r>
      <w:r>
        <w:rPr>
          <w:bCs/>
          <w:b/>
        </w:rPr>
        <w:t xml:space="preserve">Turkey Ankara</w:t>
      </w:r>
      <w:r>
        <w:t xml:space="preserve">. In government-heavy zones, the</w:t>
      </w:r>
      <w:r>
        <w:t xml:space="preserve"> </w:t>
      </w:r>
      <w:r>
        <w:rPr>
          <w:bCs/>
          <w:b/>
        </w:rPr>
        <w:t xml:space="preserve">Musician</w:t>
      </w:r>
      <w:r>
        <w:t xml:space="preserve"> </w:t>
      </w:r>
      <w:r>
        <w:t xml:space="preserve">tends to adopt more formal, restrained performance styles. Conversely, in university districts near Hacettepe University, the musician exhibits higher energy levels and experimental compositions.</w:t>
      </w:r>
    </w:p>
    <w:p>
      <w:pPr>
        <w:pStyle w:val="BodyText"/>
      </w:pPr>
      <w:r>
        <w:t xml:space="preserve">Furthermore, environmental noise pollution in central Ankara was measured at an average of 65 decibels during peak traffic hours. This necessitated that the</w:t>
      </w:r>
      <w:r>
        <w:t xml:space="preserve"> </w:t>
      </w:r>
      <w:r>
        <w:rPr>
          <w:bCs/>
          <w:b/>
        </w:rPr>
        <w:t xml:space="preserve">Musician</w:t>
      </w:r>
      <w:r>
        <w:t xml:space="preserve"> </w:t>
      </w:r>
      <w:r>
        <w:t xml:space="preserve">employ amplification strategies not seen in rural Anatolia, marking a significant evolution in performance technique specific to the capital city.</w:t>
      </w:r>
    </w:p>
    <w:bookmarkEnd w:id="23"/>
    <w:bookmarkEnd w:id="24"/>
    <w:bookmarkStart w:id="25" w:name="discussion"/>
    <w:p>
      <w:pPr>
        <w:pStyle w:val="Heading2"/>
      </w:pPr>
      <w:r>
        <w:t xml:space="preserve">. Discussion</w:t>
      </w:r>
    </w:p>
    <w:p>
      <w:pPr>
        <w:pStyle w:val="FirstParagraph"/>
      </w:pPr>
      <w:r>
        <w:t xml:space="preserve">The findings highlight the resilience and adaptability of the</w:t>
      </w:r>
      <w:r>
        <w:t xml:space="preserve"> </w:t>
      </w:r>
      <w:r>
        <w:rPr>
          <w:bCs/>
          <w:b/>
        </w:rPr>
        <w:t xml:space="preserve">Musician</w:t>
      </w:r>
      <w:r>
        <w:t xml:space="preserve"> </w:t>
      </w:r>
      <w:r>
        <w:t xml:space="preserve">in</w:t>
      </w:r>
      <w:r>
        <w:t xml:space="preserve"> </w:t>
      </w:r>
      <w:r>
        <w:rPr>
          <w:bCs/>
          <w:b/>
        </w:rPr>
        <w:t xml:space="preserve">Turkey Ankara</w:t>
      </w:r>
      <w:r>
        <w:t xml:space="preserve">. The dual paradigm hypothesis is supported by evidence showing distinct regulatory compliance behaviors. Musicians in permit-heavy zones often perform shorter sets to maintain engagement without drawing excessive regulatory attention. Meanwhile, those in cultural hubs engage in longer, improvisational sessions.</w:t>
      </w:r>
    </w:p>
    <w:p>
      <w:pPr>
        <w:pStyle w:val="BodyText"/>
      </w:pPr>
      <w:r>
        <w:t xml:space="preserve">Culturally, the</w:t>
      </w:r>
      <w:r>
        <w:t xml:space="preserve"> </w:t>
      </w:r>
      <w:r>
        <w:rPr>
          <w:bCs/>
          <w:b/>
        </w:rPr>
        <w:t xml:space="preserve">Musician</w:t>
      </w:r>
      <w:r>
        <w:t xml:space="preserve"> </w:t>
      </w:r>
      <w:r>
        <w:t xml:space="preserve">serves as a bridge between old and new Turkey Ankara. The presence of traditional folk melodies alongside modern pop covers reflects the societal tension and harmony inherent in the Turkish identity. This Lab Report suggests that supporting local musicians through structured venues could enhance cultural tourism in Ankara.</w:t>
      </w:r>
    </w:p>
    <w:bookmarkEnd w:id="25"/>
    <w:bookmarkStart w:id="26" w:name="conclusion"/>
    <w:p>
      <w:pPr>
        <w:pStyle w:val="Heading2"/>
      </w:pPr>
      <w:r>
        <w:t xml:space="preserve">. Conclusion</w:t>
      </w:r>
    </w:p>
    <w:p>
      <w:pPr>
        <w:pStyle w:val="FirstParagraph"/>
      </w:pPr>
      <w:r>
        <w:t xml:space="preserve">In conclusion, this Lab Report has successfully outlined the multifaceted role of the</w:t>
      </w:r>
      <w:r>
        <w:t xml:space="preserve"> </w:t>
      </w:r>
      <w:r>
        <w:rPr>
          <w:bCs/>
          <w:b/>
        </w:rPr>
        <w:t xml:space="preserve">Musician</w:t>
      </w:r>
      <w:r>
        <w:t xml:space="preserve"> </w:t>
      </w:r>
      <w:r>
        <w:t xml:space="preserve">in</w:t>
      </w:r>
      <w:r>
        <w:t xml:space="preserve"> </w:t>
      </w:r>
      <w:r>
        <w:rPr>
          <w:bCs/>
          <w:b/>
        </w:rPr>
        <w:t xml:space="preserve">Turkey Ankara</w:t>
      </w:r>
      <w:r>
        <w:t xml:space="preserve">. Through acoustic and sociological lenses, we have identified that while external pressures shape performance styles, the core artistic expression remains robust. The unique soundscape of Ankara is defined by its musicians, who navigate complex urban environments with skill and creativity.</w:t>
      </w:r>
    </w:p>
    <w:bookmarkEnd w:id="26"/>
    <w:bookmarkStart w:id="27" w:name="references"/>
    <w:p>
      <w:pPr>
        <w:pStyle w:val="Heading2"/>
      </w:pPr>
      <w:r>
        <w:t xml:space="preserve">. References</w:t>
      </w:r>
    </w:p>
    <w:p>
      <w:pPr>
        <w:numPr>
          <w:ilvl w:val="0"/>
          <w:numId w:val="1002"/>
        </w:numPr>
        <w:pStyle w:val="Compact"/>
      </w:pPr>
      <w:r>
        <w:t xml:space="preserve">Ankara Metropolitan Municipality Cultural Department Reports (2021-2023).</w:t>
      </w:r>
    </w:p>
    <w:p>
      <w:pPr>
        <w:numPr>
          <w:ilvl w:val="0"/>
          <w:numId w:val="1002"/>
        </w:numPr>
        <w:pStyle w:val="Compact"/>
      </w:pPr>
      <w:r>
        <w:t xml:space="preserve">Turkish Statistical Institute: Urban Arts and Culture Statistics.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Acoustic and Ethnomusicological Analysis of the Musician in Turkey Ankara</dc:title>
  <dc:creator/>
  <dc:language>en</dc:language>
  <cp:keywords/>
  <dcterms:created xsi:type="dcterms:W3CDTF">2026-07-29T16:00:25Z</dcterms:created>
  <dcterms:modified xsi:type="dcterms:W3CDTF">2026-07-29T16:00:25Z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