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Frameworks</w:t>
      </w:r>
      <w:r>
        <w:t xml:space="preserve"> </w:t>
      </w:r>
      <w:r>
        <w:t xml:space="preserve">in</w:t>
      </w:r>
      <w:r>
        <w:t xml:space="preserve"> </w:t>
      </w:r>
      <w:r>
        <w:t xml:space="preserve">Australia</w:t>
      </w:r>
      <w:r>
        <w:t xml:space="preserve"> </w:t>
      </w:r>
      <w:r>
        <w:t xml:space="preserve">Melbourne</w:t>
      </w:r>
    </w:p>
    <w:bookmarkStart w:id="29" w:name="X5499e1b1b63fdee4a31970a79bceceacbbfbdf8"/>
    <w:p>
      <w:pPr>
        <w:pStyle w:val="Heading1"/>
      </w:pPr>
      <w:r>
        <w:t xml:space="preserve">Laboratory Report on Clinical Practice Standards</w:t>
      </w:r>
      <w:r>
        <w:br/>
      </w:r>
      <w:r>
        <w:t xml:space="preserve">Occupational Therapist Analysis in Australia Melbourne</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Melbourne, Victoria, Australia</w:t>
      </w:r>
    </w:p>
    <w:p>
      <w:pPr>
        <w:pStyle w:val="BodyText"/>
      </w:pPr>
      <w:r>
        <w:rPr>
          <w:bCs/>
          <w:b/>
        </w:rPr>
        <w:t xml:space="preserve">Type of Analysis:</w:t>
      </w:r>
      <w:r>
        <w:t xml:space="preserve"> </w:t>
      </w:r>
      <w:r>
        <w:t xml:space="preserve">Clinical Service Delivery &amp; Regulatory Compliance Report</w:t>
      </w:r>
    </w:p>
    <w:bookmarkStart w:id="20" w:name="Xe3d0fc0bea9a42ce7605565d0964033d7f6ee47"/>
    <w:p>
      <w:pPr>
        <w:pStyle w:val="Heading2"/>
      </w:pPr>
      <w:r>
        <w:t xml:space="preserve">1. Introduction and Scope</w:t>
      </w:r>
    </w:p>
    <w:p>
      <w:pPr>
        <w:pStyle w:val="FirstParagraph"/>
      </w:pPr>
      <w:r>
        <w:t xml:space="preserve">This document serves as a comprehensive Lab Report regarding the operational, ethical, and clinical frameworks governing an Occupational Therapist within the specific geographic and regulatory context of Australia Melbourne. The primary objective of this report is to analyze how occupational therapy services are delivered in Melbourne’s diverse healthcare landscape, adhering strictly to national guidelines while addressing local demographic needs. As Melbourne continues to evolve as a major metropolitan hub, the demand for specialized rehabilitation services has increased significantly.</w:t>
      </w:r>
    </w:p>
    <w:p>
      <w:pPr>
        <w:pStyle w:val="BodyText"/>
      </w:pPr>
      <w:r>
        <w:t xml:space="preserve">The term "Occupational Therapist" in this context refers not merely to the individual practitioner but to the holistic professional role encompassed by Australian standards of practice. The report investigates how these professionals integrate evidence-based practices with the unique cultural and environmental factors present in Australia Melbourne. This includes an examination of interactions with Medicare, the National Disability Insurance Scheme (NDIS), and private healthcare providers.</w:t>
      </w:r>
    </w:p>
    <w:bookmarkEnd w:id="20"/>
    <w:bookmarkStart w:id="21" w:name="Xcd1da4944f417aca0bfc5b94232088717d12033"/>
    <w:p>
      <w:pPr>
        <w:pStyle w:val="Heading2"/>
      </w:pPr>
      <w:r>
        <w:t xml:space="preserve">2. Methodology and Regulatory Framework</w:t>
      </w:r>
    </w:p>
    <w:p>
      <w:pPr>
        <w:pStyle w:val="FirstParagraph"/>
      </w:pPr>
      <w:r>
        <w:t xml:space="preserve">In conducting this analysis of Occupational Therapist services in Australia Melbourne, we must first establish the regulatory environment. The practice of an Occupational Therapist in Australia is governed by two primary bodies: the Occupational Therapy Board of Australia (OTBA), which operates under AHPRA (Australian Health Practitioner Regulation Agency), and the Australian College of Occupational Therapists Ltd (ACOT). For a practitioner to legally operate as an</w:t>
      </w:r>
      <w:r>
        <w:t xml:space="preserve"> </w:t>
      </w:r>
      <w:r>
        <w:rPr>
          <w:bCs/>
          <w:b/>
        </w:rPr>
        <w:t xml:space="preserve">Occupational Therapist</w:t>
      </w:r>
      <w:r>
        <w:t xml:space="preserve"> </w:t>
      </w:r>
      <w:r>
        <w:t xml:space="preserve">in Melbourne, they must maintain registration with AHPRA and adhere to the Codes of Conduct set by OTBA.</w:t>
      </w:r>
    </w:p>
    <w:p>
      <w:pPr>
        <w:pStyle w:val="BodyText"/>
      </w:pPr>
      <w:r>
        <w:t xml:space="preserve">The methodology for this report involves a review of current clinical protocols used in Melbourne clinics. These protocols are designed to ensure that the intervention strategies employed are culturally safe for Indigenous Australians (Aboriginal and Torres Strait Islander peoples) and equitable for Melbourne’s multicultural population. The "Lab Report" nature of this document requires us to treat clinical service delivery as a systematic experiment, measuring outcomes against benchmarks set by the Victorian Department of Health.</w:t>
      </w:r>
    </w:p>
    <w:bookmarkEnd w:id="21"/>
    <w:bookmarkStart w:id="24" w:name="Xef03aa7ede1d78955c6a64b6fcc557d15c8150b"/>
    <w:p>
      <w:pPr>
        <w:pStyle w:val="Heading2"/>
      </w:pPr>
      <w:r>
        <w:t xml:space="preserve">3. Clinical Practice Context in Australia Melbourne</w:t>
      </w:r>
    </w:p>
    <w:bookmarkStart w:id="22" w:name="X66d8e72d4f1d354b391a9a9a7c17b10ea9463c5"/>
    <w:p>
      <w:pPr>
        <w:pStyle w:val="Heading3"/>
      </w:pPr>
      <w:r>
        <w:t xml:space="preserve">3.1 The Role of the Occupational Therapist in Public and Private Sectors</w:t>
      </w:r>
    </w:p>
    <w:p>
      <w:pPr>
        <w:pStyle w:val="FirstParagraph"/>
      </w:pPr>
      <w:r>
        <w:t xml:space="preserve">Melbourne, being a city with a robust public healthcare system (the Royal Melbourne Hospital being a flagship institution), requires Occupational Therapists to navigate complex triage systems. However, there is also a thriving private sector. An</w:t>
      </w:r>
      <w:r>
        <w:t xml:space="preserve"> </w:t>
      </w:r>
      <w:r>
        <w:rPr>
          <w:bCs/>
          <w:b/>
        </w:rPr>
        <w:t xml:space="preserve">Occupational Therapist</w:t>
      </w:r>
      <w:r>
        <w:t xml:space="preserve"> </w:t>
      </w:r>
      <w:r>
        <w:t xml:space="preserve">in Melbourne often works across both sectors. In the public sector, the focus is heavily weighted toward acute care and rehabilitation following stroke or trauma. In the private sector, particularly in Melbourne’s eastern suburbs or surrounding regional areas like Geelong which are part of the greater Melbourne metro influence, there is a higher demand for pediatric and aging-in-place services.</w:t>
      </w:r>
    </w:p>
    <w:bookmarkEnd w:id="22"/>
    <w:bookmarkStart w:id="23" w:name="ndis-integration"/>
    <w:p>
      <w:pPr>
        <w:pStyle w:val="Heading3"/>
      </w:pPr>
      <w:r>
        <w:t xml:space="preserve">3.2 NDIS Integration</w:t>
      </w:r>
    </w:p>
    <w:p>
      <w:pPr>
        <w:pStyle w:val="FirstParagraph"/>
      </w:pPr>
      <w:r>
        <w:t xml:space="preserve">A critical component of this report is the integration with the National Disability Insurance Scheme (NDIS). In Australia Melbourne, the NDIS has fundamentally altered how an Occupational Therapist plans care. Unlike traditional models, NDIs require outcome-based planning. An</w:t>
      </w:r>
      <w:r>
        <w:t xml:space="preserve"> </w:t>
      </w:r>
      <w:r>
        <w:rPr>
          <w:bCs/>
          <w:b/>
        </w:rPr>
        <w:t xml:space="preserve">Occupational Therapist</w:t>
      </w:r>
      <w:r>
        <w:t xml:space="preserve"> </w:t>
      </w:r>
      <w:r>
        <w:t xml:space="preserve">must now document functional capacity and goal attainment scaling rather than just medical diagnoses. This shift is particularly relevant in Melbourne, where high population density requires efficient resource allocation.</w:t>
      </w:r>
    </w:p>
    <w:bookmarkEnd w:id="23"/>
    <w:bookmarkEnd w:id="24"/>
    <w:bookmarkStart w:id="25" w:name="X94ca03ca43f05b740b9861dd96865ab77844563"/>
    <w:p>
      <w:pPr>
        <w:pStyle w:val="Heading2"/>
      </w:pPr>
      <w:r>
        <w:t xml:space="preserve">4. Case Analysis: Environmental Adaptations</w:t>
      </w:r>
    </w:p>
    <w:p>
      <w:pPr>
        <w:pStyle w:val="FirstParagraph"/>
      </w:pPr>
      <w:r>
        <w:t xml:space="preserve">To illustrate the practical application of this Lab Report’s findings, we analyze a representative case study involving home modifications. This scenario highlights why an</w:t>
      </w:r>
      <w:r>
        <w:t xml:space="preserve"> </w:t>
      </w:r>
      <w:r>
        <w:rPr>
          <w:bCs/>
          <w:b/>
        </w:rPr>
        <w:t xml:space="preserve">Occupational Therapist</w:t>
      </w:r>
      <w:r>
        <w:t xml:space="preserve"> </w:t>
      </w:r>
      <w:r>
        <w:t xml:space="preserve">in Australia Melbourne must be attuned to local housing structures.</w:t>
      </w:r>
    </w:p>
    <w:p>
      <w:pPr>
        <w:numPr>
          <w:ilvl w:val="0"/>
          <w:numId w:val="1001"/>
        </w:numPr>
        <w:pStyle w:val="Compact"/>
      </w:pPr>
      <w:r>
        <w:rPr>
          <w:bCs/>
          <w:b/>
        </w:rPr>
        <w:t xml:space="preserve">The Problem:</w:t>
      </w:r>
      <w:r>
        <w:t xml:space="preserve"> </w:t>
      </w:r>
      <w:r>
        <w:t xml:space="preserve">An elderly client in a heritage-listed home in South Melbourne requires mobility aids but faces architectural barriers due to strict heritage preservation laws.</w:t>
      </w:r>
    </w:p>
    <w:p>
      <w:pPr>
        <w:numPr>
          <w:ilvl w:val="0"/>
          <w:numId w:val="1001"/>
        </w:numPr>
        <w:pStyle w:val="Compact"/>
      </w:pPr>
      <w:r>
        <w:rPr>
          <w:bCs/>
          <w:b/>
        </w:rPr>
        <w:t xml:space="preserve">The OT Intervention:</w:t>
      </w:r>
      <w:r>
        <w:t xml:space="preserve"> </w:t>
      </w:r>
      <w:r>
        <w:t xml:space="preserve">The Occupational Therapist conducts a hazard identification assessment. Instead of recommending structural changes that may be denied by the local council, they suggest non-structural adaptations such as grab rail installations using specialized anchors and smart-home technology for lighting control.</w:t>
      </w:r>
    </w:p>
    <w:p>
      <w:pPr>
        <w:numPr>
          <w:ilvl w:val="0"/>
          <w:numId w:val="1001"/>
        </w:numPr>
        <w:pStyle w:val="Compact"/>
      </w:pPr>
      <w:r>
        <w:rPr>
          <w:bCs/>
          <w:b/>
        </w:rPr>
        <w:t xml:space="preserve">Outcome:</w:t>
      </w:r>
      <w:r>
        <w:t xml:space="preserve"> </w:t>
      </w:r>
      <w:r>
        <w:t xml:space="preserve">This approach demonstrates the specialized skill set of an Occupational Therapist operating in Australia Melbourne. They must possess knowledge not just of human physiology, but of local zoning laws and heritage regulations.</w:t>
      </w:r>
    </w:p>
    <w:bookmarkEnd w:id="25"/>
    <w:bookmarkStart w:id="26" w:name="X4060fcc8443f3414beb864517c37a6eea3ae3ac"/>
    <w:p>
      <w:pPr>
        <w:pStyle w:val="Heading2"/>
      </w:pPr>
      <w:r>
        <w:t xml:space="preserve">5. Cultural Competence and Indigenous Health</w:t>
      </w:r>
    </w:p>
    <w:p>
      <w:pPr>
        <w:pStyle w:val="FirstParagraph"/>
      </w:pPr>
      <w:r>
        <w:t xml:space="preserve">No Lab Report concerning an Occupational Therapist in Australia Melbourne is complete without addressing cultural safety. The concept of "Closing the Gap" is a national priority, and Melbourne has a significant Aboriginal population. An effective Occupational Therapist must utilize culturally responsive practices.</w:t>
      </w:r>
    </w:p>
    <w:p>
      <w:pPr>
        <w:pStyle w:val="BodyText"/>
      </w:pPr>
      <w:r>
        <w:t xml:space="preserve">This involves understanding that for Indigenous clients, "occupation" may include community gathering, ceremony, and connection to Country. Therefore, therapeutic goals set by an Occupational Therapist in Australia Melbourne should respect these cultural priorities. Collaboration with Local Aboriginal Community Controlled Health Organizations (ACCHOs) is a standard best practice in the region. This ensures that the services provided are not only clinically sound but also culturally appropriate.</w:t>
      </w:r>
    </w:p>
    <w:bookmarkEnd w:id="26"/>
    <w:bookmarkStart w:id="27" w:name="Xe8e1f2572a5cabef7846fafb79b95c5761314bd"/>
    <w:p>
      <w:pPr>
        <w:pStyle w:val="Heading2"/>
      </w:pPr>
      <w:r>
        <w:t xml:space="preserve">6. Challenges and Future Outlook</w:t>
      </w:r>
    </w:p>
    <w:p>
      <w:pPr>
        <w:pStyle w:val="FirstParagraph"/>
      </w:pPr>
      <w:r>
        <w:t xml:space="preserve">The current landscape for an Occupational Therapist in Australia Melbourne presents several challenges:</w:t>
      </w:r>
    </w:p>
    <w:p>
      <w:pPr>
        <w:numPr>
          <w:ilvl w:val="0"/>
          <w:numId w:val="1002"/>
        </w:numPr>
        <w:pStyle w:val="Compact"/>
      </w:pPr>
      <w:r>
        <w:rPr>
          <w:bCs/>
          <w:b/>
        </w:rPr>
        <w:t xml:space="preserve">Burnout Rates:</w:t>
      </w:r>
      <w:r>
        <w:t xml:space="preserve"> </w:t>
      </w:r>
      <w:r>
        <w:t xml:space="preserve">High caseloads in public hospitals lead to professional fatigue.</w:t>
      </w:r>
    </w:p>
    <w:p>
      <w:pPr>
        <w:numPr>
          <w:ilvl w:val="0"/>
          <w:numId w:val="1002"/>
        </w:numPr>
        <w:pStyle w:val="Compact"/>
      </w:pPr>
      <w:r>
        <w:rPr>
          <w:bCs/>
          <w:b/>
        </w:rPr>
        <w:t xml:space="preserve">Digital Health Integration:</w:t>
      </w:r>
      <w:r>
        <w:t xml:space="preserve"> </w:t>
      </w:r>
      <w:r>
        <w:t xml:space="preserve">The rapid adoption of telehealth requires Occupational Therapists to adapt their assessment techniques. Virtual home assessments are becoming common, requiring new technical skills.</w:t>
      </w:r>
    </w:p>
    <w:p>
      <w:pPr>
        <w:numPr>
          <w:ilvl w:val="0"/>
          <w:numId w:val="1002"/>
        </w:numPr>
        <w:pStyle w:val="Compact"/>
      </w:pPr>
      <w:r>
        <w:rPr>
          <w:bCs/>
          <w:b/>
        </w:rPr>
        <w:t xml:space="preserve">Aging Population:</w:t>
      </w:r>
      <w:r>
        <w:t xml:space="preserve"> </w:t>
      </w:r>
      <w:r>
        <w:t xml:space="preserve">With Melbourne’s demographic shift towards an older population, the demand for dementia care and aged care support is increasing exponentially.</w:t>
      </w:r>
    </w:p>
    <w:p>
      <w:pPr>
        <w:pStyle w:val="FirstParagraph"/>
      </w:pPr>
      <w:r>
        <w:t xml:space="preserve">The future of the Occupational Therapist profession in this region looks toward interdisciplinary collaboration. The "Lab Report" data suggests that successful OTs in Australia Melbourne are those who integrate seamlessly with physiotherapists, speech pathologists, and social workers within multidisciplinary teams.</w:t>
      </w:r>
    </w:p>
    <w:bookmarkEnd w:id="27"/>
    <w:bookmarkStart w:id="28" w:name="X19cad7d15381a9dfa000caf49ac5c69889e188d"/>
    <w:p>
      <w:pPr>
        <w:pStyle w:val="Heading2"/>
      </w:pPr>
      <w:r>
        <w:t xml:space="preserve">7. Conclusion</w:t>
      </w:r>
    </w:p>
    <w:p>
      <w:pPr>
        <w:pStyle w:val="FirstParagraph"/>
      </w:pPr>
      <w:r>
        <w:t xml:space="preserve">In summary, this Lab Report has delineated the complex role of an Occupational Therapist within the specific context of Australia Melbourne. It is evident that professional practice here is not isolated; it is deeply intertwined with federal schemes like the NDIS, state-based regulations via AHPRA, and local cultural nuances.</w:t>
      </w:r>
    </w:p>
    <w:p>
      <w:pPr>
        <w:pStyle w:val="BodyText"/>
      </w:pPr>
      <w:r>
        <w:t xml:space="preserve">An Occupational Therapist in this region must be more than a clinician; they must be a navigator of healthcare systems, an advocate for individual rights under the NDIS framework, and a culturally competent practitioner serving Melbourne’s diverse population. The findings confirm that high-quality care in Australia Melbourne relies on the adaptability and specialized knowledge of the Occupational Therapist profession. Continued adherence to best practices and ongoing professional development is essential for maintaining standards of care in this dynamic environment.</w:t>
      </w:r>
    </w:p>
    <w:p>
      <w:pPr>
        <w:pStyle w:val="BodyText"/>
      </w:pPr>
      <w:r>
        <w:rPr>
          <w:bCs/>
          <w:b/>
        </w:rPr>
        <w:t xml:space="preserve">End of Report</w:t>
      </w:r>
    </w:p>
    <w:p>
      <w:pPr>
        <w:pStyle w:val="BodyText"/>
      </w:pPr>
      <w:r>
        <w:rPr>
          <w:iCs/>
          <w:i/>
        </w:rPr>
        <w:t xml:space="preserve">This document is intended for academic and professional reference regarding Occupational Therapy practices in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Frameworks in Australia Melbourne</dc:title>
  <dc:creator/>
  <dc:language>en</dc:language>
  <cp:keywords/>
  <dcterms:created xsi:type="dcterms:W3CDTF">2026-07-30T02:17:06Z</dcterms:created>
  <dcterms:modified xsi:type="dcterms:W3CDTF">2026-07-30T02:17:06Z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