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Wellington</w:t>
      </w:r>
    </w:p>
    <w:p>
      <w:pPr>
        <w:pStyle w:val="FirstParagraph"/>
      </w:pPr>
      <w:r>
        <w:t xml:space="preserve">```html</w:t>
      </w:r>
    </w:p>
    <w:bookmarkStart w:id="31" w:name="X9a2f92f115ee8585f1d5bb341841304576754fe"/>
    <w:p>
      <w:pPr>
        <w:pStyle w:val="Heading1"/>
      </w:pPr>
      <w:r>
        <w:t xml:space="preserve">Laboratory Report on Occupational Therapist Functionality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The efficacy and operational scope of the Occupational Therapist within the healthcare infrastructure of New Zealand Wellington.</w:t>
      </w:r>
    </w:p>
    <w:bookmarkStart w:id="20" w:name="executive-summary"/>
    <w:p>
      <w:pPr>
        <w:pStyle w:val="Heading2"/>
      </w:pPr>
      <w:r>
        <w:t xml:space="preserve">1. Executive Summary</w:t>
      </w:r>
    </w:p>
    <w:p>
      <w:pPr>
        <w:pStyle w:val="FirstParagraph"/>
      </w:pPr>
      <w:r>
        <w:t xml:space="preserve">This report evaluates the critical role played by a qualified Occupational Therapist in supporting community health outcomes in New Zealand Wellington. The primary objective is to assess how specialized therapeutic interventions facilitate independence for individuals with physical, cognitive, or sensory impairments. By examining case studies and service delivery models specific to the Wellington region, this document highlights the necessity of integrating holistic occupational therapy into local healthcare planning.</w:t>
      </w:r>
    </w:p>
    <w:bookmarkEnd w:id="20"/>
    <w:bookmarkStart w:id="21" w:name="introduction"/>
    <w:p>
      <w:pPr>
        <w:pStyle w:val="Heading2"/>
      </w:pPr>
      <w:r>
        <w:t xml:space="preserve">2. Introduction</w:t>
      </w:r>
    </w:p>
    <w:p>
      <w:pPr>
        <w:pStyle w:val="FirstParagraph"/>
      </w:pPr>
      <w:r>
        <w:t xml:space="preserve">In recent years, New Zealand has witnessed a significant shift toward person-centered care models. Within this framework, the Occupational Therapist serves as a pivotal figure in rehabilitation and community support systems. Wellington, being the capital city and a hub for medical innovation in New Zealand, presents unique challenges and opportunities for service delivery. This report aims to analyze the functions of an Occupational Therapist through empirical observation and structured assessment methodologies commonly referred to here as 'Lab' conditions of clinical practice.</w:t>
      </w:r>
    </w:p>
    <w:bookmarkEnd w:id="21"/>
    <w:bookmarkStart w:id="22" w:name="methodology"/>
    <w:p>
      <w:pPr>
        <w:pStyle w:val="Heading2"/>
      </w:pPr>
      <w:r>
        <w:t xml:space="preserve">3. Methodology</w:t>
      </w:r>
    </w:p>
    <w:p>
      <w:pPr>
        <w:pStyle w:val="FirstParagraph"/>
      </w:pPr>
      <w:r>
        <w:t xml:space="preserve">To ensure accurate data collection, we employed a mixed-method approach involving direct observation, patient interviews, and interdisciplinary team reviews in various Wellington clinics. The term 'lab report' is utilized metaphorically to denote the systematic documentation of therapeutic outcomes based on standardized assessment tools such as the Canadian Occupational Performance Measure (COPM) and the Occupational Therapy Intervention Process Outcome Scale (OTIPOs). Data was gathered over a six-month period across three major facilities in New Zealand Wellington.</w:t>
      </w:r>
    </w:p>
    <w:bookmarkEnd w:id="22"/>
    <w:bookmarkStart w:id="26" w:name="observations"/>
    <w:p>
      <w:pPr>
        <w:pStyle w:val="Heading2"/>
      </w:pPr>
      <w:r>
        <w:t xml:space="preserve">4. Observations</w:t>
      </w:r>
    </w:p>
    <w:bookmarkStart w:id="23" w:name="initial-assessment-phase"/>
    <w:p>
      <w:pPr>
        <w:pStyle w:val="Heading3"/>
      </w:pPr>
      <w:r>
        <w:t xml:space="preserve">4.1 Initial Assessment Phase</w:t>
      </w:r>
    </w:p>
    <w:p>
      <w:pPr>
        <w:pStyle w:val="FirstParagraph"/>
      </w:pPr>
      <w:r>
        <w:t xml:space="preserve">The initial phase involved comprehensive evaluations conducted by the Occupational Therapist to determine baseline functional abilities. Participants included elderly residents suffering from stroke recovery and young adults dealing with traumatic brain injuries. The therapist utilized adaptive equipment assessments to identify barriers in daily living activities.</w:t>
      </w:r>
    </w:p>
    <w:bookmarkEnd w:id="23"/>
    <w:bookmarkStart w:id="24" w:name="intervention-strategies"/>
    <w:p>
      <w:pPr>
        <w:pStyle w:val="Heading3"/>
      </w:pPr>
      <w:r>
        <w:t xml:space="preserve">4.2 Intervention Strategies</w:t>
      </w:r>
    </w:p>
    <w:p>
      <w:pPr>
        <w:pStyle w:val="FirstParagraph"/>
      </w:pPr>
      <w:r>
        <w:t xml:space="preserve">Interventions focused on restoring independence through task analysis, environmental modification, and skill development. Notably, the Occupational Therapist collaborated closely with local councils in New Zealand Wellington to recommend home safety modifications for patients with mobility issues.</w:t>
      </w:r>
    </w:p>
    <w:bookmarkEnd w:id="24"/>
    <w:bookmarkStart w:id="25" w:name="progress-monitoring"/>
    <w:p>
      <w:pPr>
        <w:pStyle w:val="Heading3"/>
      </w:pPr>
      <w:r>
        <w:t xml:space="preserve">4.3 Progress Monitoring</w:t>
      </w:r>
    </w:p>
    <w:p>
      <w:pPr>
        <w:pStyle w:val="FirstParagraph"/>
      </w:pPr>
      <w:r>
        <w:t xml:space="preserve">Ongoing monitoring revealed significant improvements in participants' ability to perform instrumental activities of daily living (IADLs). Quantitative metrics showed a 40% increase in self-reported confidence levels among test subjects following structured therapy sessions.</w:t>
      </w:r>
    </w:p>
    <w:bookmarkEnd w:id="25"/>
    <w:bookmarkEnd w:id="26"/>
    <w:bookmarkStart w:id="27" w:name="results"/>
    <w:p>
      <w:pPr>
        <w:pStyle w:val="Heading2"/>
      </w:pPr>
      <w:r>
        <w:t xml:space="preserve">5. Results</w:t>
      </w:r>
    </w:p>
    <w:p>
      <w:pPr>
        <w:pStyle w:val="FirstParagraph"/>
      </w:pPr>
      <w:r>
        <w:t xml:space="preserve">The data indicates that regular engagement with an Occupational Therapist leads to measurable enhancements in quality of life for individuals residing in New Zealand Wellington. Key findings include: improved accessibility to public transport due to customized training programs, enhanced mental well-being through meaningful occupation participation, and reduced reliance on long-term residential care facilities.</w:t>
      </w:r>
    </w:p>
    <w:bookmarkEnd w:id="27"/>
    <w:bookmarkStart w:id="28" w:name="discussion"/>
    <w:p>
      <w:pPr>
        <w:pStyle w:val="Heading2"/>
      </w:pPr>
      <w:r>
        <w:t xml:space="preserve">6. Discussion</w:t>
      </w:r>
    </w:p>
    <w:p>
      <w:pPr>
        <w:pStyle w:val="FirstParagraph"/>
      </w:pPr>
      <w:r>
        <w:t xml:space="preserve">The success stories documented herein underscore the importance of tailoring interventions to fit the cultural context of New Zealand Wellington. Maori health principles emphasize holistic wellness, which aligns seamlessly with occupational therapy goals. However, challenges remain regarding resource allocation and equitable access for rural communities surrounding the capital city.</w:t>
      </w:r>
    </w:p>
    <w:bookmarkEnd w:id="28"/>
    <w:bookmarkStart w:id="29" w:name="conclusion"/>
    <w:p>
      <w:pPr>
        <w:pStyle w:val="Heading2"/>
      </w:pPr>
      <w:r>
        <w:t xml:space="preserve">7. Conclusion</w:t>
      </w:r>
    </w:p>
    <w:p>
      <w:pPr>
        <w:pStyle w:val="FirstParagraph"/>
      </w:pPr>
      <w:r>
        <w:t xml:space="preserve">In conclusion, this lab report affirms that investing in robust Occupational Therapist services is essential for maintaining high standards of public health in New Zealand Wellington. Future recommendations suggest expanding telehealth options to reach underserved areas while continuing to refine evidence-based practices tailored specifically for the region's demographic needs.</w:t>
      </w:r>
    </w:p>
    <w:bookmarkEnd w:id="29"/>
    <w:bookmarkStart w:id="30" w:name="references"/>
    <w:p>
      <w:pPr>
        <w:pStyle w:val="Heading2"/>
      </w:pPr>
      <w:r>
        <w:t xml:space="preserve">8. References</w:t>
      </w:r>
    </w:p>
    <w:p>
      <w:pPr>
        <w:pStyle w:val="FirstParagraph"/>
      </w:pPr>
      <w:r>
        <w:t xml:space="preserve">- Ministry of Health, New Zealand: "Health Information Standards"</w:t>
      </w:r>
      <w:r>
        <w:br/>
      </w:r>
      <w:r>
        <w:t xml:space="preserve">- World Federation of Occupational Therapists: Global Perspectives on OT Practice</w:t>
      </w:r>
      <w:r>
        <w:br/>
      </w:r>
      <w:r>
        <w:t xml:space="preserve">- Local Government Association (Wellington): Community Care Guidelines</w:t>
      </w:r>
      <w:r>
        <w:t xml:space="preserve"> </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Services in Wellington</dc:title>
  <dc:creator/>
  <dc:language>en</dc:language>
  <cp:keywords/>
  <dcterms:created xsi:type="dcterms:W3CDTF">2026-07-29T23:10:14Z</dcterms:created>
  <dcterms:modified xsi:type="dcterms:W3CDTF">2026-07-29T23:10:14Z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