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Ot</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8" w:name="ot-lab-report-united-states-miami"/>
    <w:p>
      <w:pPr>
        <w:pStyle w:val="Heading1"/>
      </w:pPr>
      <w:r>
        <w:t xml:space="preserve">Ot Lab Report United States Miami</w:t>
      </w:r>
    </w:p>
    <w:p>
      <w:pPr>
        <w:pStyle w:val="FirstParagraph"/>
      </w:pPr>
      <w:r>
        <w:t xml:space="preserve">This document serves as a comprehensive analysis and operational summary regarding the role, clinical application, and specific regional requirements of an Occupational Therapist within the healthcare landscape of the United States, with a specialized focus on the metropolitan area of Miami. The purpose of this report is to delineate how Occupational Therapy services are structured and delivered in this unique demographic zone, ensuring that patient care aligns with both federal standards set by the American Occupational Therapy Association (AOTA) and local regulatory frameworks applicable in Florida.</w:t>
      </w:r>
    </w:p>
    <w:bookmarkStart w:id="20" w:name="X145510cada1a7f9496677d962ccbfad3976b1eb"/>
    <w:p>
      <w:pPr>
        <w:pStyle w:val="Heading2"/>
      </w:pPr>
      <w:r>
        <w:t xml:space="preserve">Introduction to Occupational Therapy Practices</w:t>
      </w:r>
    </w:p>
    <w:p>
      <w:pPr>
        <w:pStyle w:val="FirstParagraph"/>
      </w:pPr>
      <w:r>
        <w:t xml:space="preserve">The fundamental mission of an Occupational Therapist is to enable individuals with injuries, illnesses, or disabilities to develop, recover, improve and/or maintain skills needed for daily living. In the context of the United States healthcare system this profession has evolved significantly over recent decades moving from a primary focus on physical rehabilitation to a holistic model that encompasses mental health pediatric care geriatric support and community integration. When examining the specific case of Miami it is important to recognize that while federal guidelines dictate general competency standards state boards such as the Florida Board of Occupational Therapy impose additional licensing requirements continuing education mandates and scope-of-practice nuances.</w:t>
      </w:r>
    </w:p>
    <w:bookmarkEnd w:id="20"/>
    <w:bookmarkStart w:id="21" w:name="regional-context-miami-demographics"/>
    <w:p>
      <w:pPr>
        <w:pStyle w:val="Heading2"/>
      </w:pPr>
      <w:r>
        <w:t xml:space="preserve">Regional Context: Miami Demographics</w:t>
      </w:r>
    </w:p>
    <w:p>
      <w:pPr>
        <w:pStyle w:val="FirstParagraph"/>
      </w:pPr>
      <w:r>
        <w:t xml:space="preserve">Miami presents a distinct set of challenges and opportunities for practitioners. The city boasts one of the largest populations in the United States with significant cultural diversity particularly among Hispanic and Latin American communities as well as elderly retirees from various parts of North America. This demographic composition directly impacts patient presentation an Occupational Therapist may encounter. For instance geriatric patients often present with age-related conditions such as arthritis dementia or post-stroke sequelae requiring specialized interventions focused on maintaining independence in activities of daily living (ADLs). Additionally the tropical climate influences outdoor rehabilitation potential and community engagement strategies which must be factored into treatment plans.</w:t>
      </w:r>
    </w:p>
    <w:bookmarkEnd w:id="21"/>
    <w:bookmarkStart w:id="25" w:name="clinical-application-and-case-studies"/>
    <w:p>
      <w:pPr>
        <w:pStyle w:val="Heading2"/>
      </w:pPr>
      <w:r>
        <w:t xml:space="preserve">Clinical Application and Case Studies</w:t>
      </w:r>
    </w:p>
    <w:p>
      <w:pPr>
        <w:pStyle w:val="FirstParagraph"/>
      </w:pPr>
      <w:r>
        <w:t xml:space="preserve">To illustrate the practical application of occupational therapy principles within this region we present a composite case study derived from typical clinical scenarios observed in Miami hospitals outpatient clinics and home health agencies. The patient is a 78-year-old male recently discharged following a right-sided cerebrovascular accident (CVA). He resides in an apartment complex with limited elevator access thus posing environmental barriers to mobility. His primary goals include regaining the ability to feed himself dress independently and navigate his living space safely.</w:t>
      </w:r>
    </w:p>
    <w:bookmarkStart w:id="22" w:name="assessment-phase"/>
    <w:p>
      <w:pPr>
        <w:pStyle w:val="Heading3"/>
      </w:pPr>
      <w:r>
        <w:t xml:space="preserve">Assessment Phase</w:t>
      </w:r>
    </w:p>
    <w:p>
      <w:pPr>
        <w:pStyle w:val="FirstParagraph"/>
      </w:pPr>
      <w:r>
        <w:t xml:space="preserve">The initial evaluation conducted by the Occupational Therapist involved standardized tools including the Berg Balance Scale for fall risk assessment and the Functional Independence Measure (FIM) to quantify current capabilities. Observations revealed deficits in unilateral neglect upper extremity coordination and balance during transfers. Furthermore psychosocial factors were considered noting his reluctance due to previous falls leading to decreased confidence.</w:t>
      </w:r>
    </w:p>
    <w:bookmarkEnd w:id="22"/>
    <w:bookmarkStart w:id="23" w:name="intervention-strategy"/>
    <w:p>
      <w:pPr>
        <w:pStyle w:val="Heading3"/>
      </w:pPr>
      <w:r>
        <w:t xml:space="preserve">Intervention Strategy</w:t>
      </w:r>
    </w:p>
    <w:p>
      <w:pPr>
        <w:pStyle w:val="FirstParagraph"/>
      </w:pPr>
      <w:r>
        <w:t xml:space="preserve">The intervention plan focused on three key domains: physical remediation adaptive equipment training and environmental modification. Physical exercises targeted strengthening core stability improving hand-eye coordination through task-oriented activities simulating meal preparation dressing and grooming tasks. Adaptive tools such as button hooks reachers and non-slip mats were introduced to facilitate safer performance of ADLs without excessive strain or risk of injury.</w:t>
      </w:r>
    </w:p>
    <w:bookmarkEnd w:id="23"/>
    <w:bookmarkStart w:id="24" w:name="outcome-measurement"/>
    <w:p>
      <w:pPr>
        <w:pStyle w:val="Heading3"/>
      </w:pPr>
      <w:r>
        <w:t xml:space="preserve">Outcome Measurement</w:t>
      </w:r>
    </w:p>
    <w:p>
      <w:pPr>
        <w:pStyle w:val="FirstParagraph"/>
      </w:pPr>
      <w:r>
        <w:t xml:space="preserve">After six weeks of thrice-weekly sessions the patient demonstrated measurable improvements in balance scores increased independence levels across multiple tasks reported satisfaction with returned autonomy. Follow-up evaluations confirmed sustained gains indicating effective translation of therapeutic gains into real-world contexts typical for residents in high-density urban areas like those found throughout Miami.</w:t>
      </w:r>
    </w:p>
    <w:bookmarkEnd w:id="24"/>
    <w:bookmarkEnd w:id="25"/>
    <w:bookmarkStart w:id="26" w:name="X74d2777531fe9bf0b923c9f7177cf2b369463da"/>
    <w:p>
      <w:pPr>
        <w:pStyle w:val="Heading2"/>
      </w:pPr>
      <w:r>
        <w:t xml:space="preserve">Regulatory Compliance and Ethical Considerations</w:t>
      </w:r>
    </w:p>
    <w:p>
      <w:pPr>
        <w:pStyle w:val="FirstParagraph"/>
      </w:pPr>
      <w:r>
        <w:t xml:space="preserve">In operating within the United States particularly under Florida jurisdiction strict adherence to ethical codes established by national associations remains paramount alongside compliance with state-specific regulations. Confidentiality informed consent cultural competence billing accuracy documentation standards—all form integral components of professional practice here too these elements ensure quality assurance accountability transparency among stakeholders including insurers patients families collaborating providers.</w:t>
      </w:r>
    </w:p>
    <w:bookmarkEnd w:id="26"/>
    <w:bookmarkStart w:id="27" w:name="conclusion"/>
    <w:p>
      <w:pPr>
        <w:pStyle w:val="Heading2"/>
      </w:pPr>
      <w:r>
        <w:t xml:space="preserve">Conclusion</w:t>
      </w:r>
    </w:p>
    <w:p>
      <w:pPr>
        <w:pStyle w:val="FirstParagraph"/>
      </w:pPr>
      <w:r>
        <w:t xml:space="preserve">The role of an Occupational Therapist extends beyond mere physical recovery encompassing broader aspects of human functionality social participation emotional well-being overall life satisfaction. Within the vibrant yet complex setting represented by cities like Miami where diverse populations intersect with advanced medical facilities there exists immense opportunity to deliver impactful personalized care tailored precisely according unique needs circumstances surrounding each individual served thereby fulfilling both professional obligations societal responsibilities contributing positively towards healthier communities nationwide.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 Lab Report: United States Miami</dc:title>
  <dc:creator/>
  <dc:language>en</dc:language>
  <cp:keywords/>
  <dcterms:created xsi:type="dcterms:W3CDTF">2026-07-29T21:30:13Z</dcterms:created>
  <dcterms:modified xsi:type="dcterms:W3CDTF">2026-07-29T21:30:13Z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