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Oceanographic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2" w:name="X83ed56b7c8bec4f309a90cab0ced0525a656ad7"/>
    <w:p>
      <w:pPr>
        <w:pStyle w:val="Heading1"/>
      </w:pPr>
      <w:r>
        <w:t xml:space="preserve">Laboratory Report on Hydrographic and Oceanographic Assessments in the Mesopotamian Region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Adaptation of Marine Science Methodologies for Tigris-Euphrates Basin Analysis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t xml:space="preserve"> </w:t>
      </w:r>
      <w:r>
        <w:t xml:space="preserve">Iraq,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" /&gt;.</w:t>
      </w:r>
    </w:p>
    <w:p>
      <w:pPr>
        <w:pStyle w:val="BodyText"/>
      </w:pPr>
      <w:r>
        <w:t xml:space="preserve">This document serves as an official laboratory report detailing the integration of oceanographic principles into a terrestrial hydrological context. Specifically, this report focuses on the application of advanced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techniques to monitor, analyze, and manage water resources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While traditionally associated with marine environments such as oceans and seas, the methodologies employed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—including fluid dynamics, salinity gradient analysis, sediment transport modeling—are critically applicable to major river systems like the Tigris and Euphrates. The unique geographical position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makes it a vital case study for applying these cross-disciplinary scientific methods.</w:t>
      </w:r>
    </w:p>
    <w:p>
      <w:pPr>
        <w:pStyle w:val="BodyText"/>
      </w:pPr>
      <w:r>
        <w:t xml:space="preserve">The primary objective of this laboratory session was to evaluate how saltwater intrusion dynamics, typically studied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can be adapted to understand freshwater degradation and sediment deposition issues in the capital region. By utilizing satellite telemetry and hydro-acoustic sensors, researchers in</w:t>
      </w:r>
    </w:p>
    <w:p>
      <w:pPr>
        <w:pStyle w:val="BodyText"/>
      </w:pPr>
      <w:r>
        <w:t xml:space="preserve">Iraq Baghdad aim to establish a baseline for water quality that mirrors the standards set by global oceanic institutions.</w:t>
      </w:r>
    </w:p>
    <w:bookmarkStart w:id="20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In order to bridge the gap between marine science and fluvial hydrology, our laboratory utilized several key instruments normally found on research vessels deployed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following methods were employed:</w:t>
      </w:r>
    </w:p>
    <w:p>
      <w:pPr>
        <w:pStyle w:val="BodyText"/>
      </w:pPr>
      <w:r>
        <w:rPr>
          <w:bCs/>
          <w:b/>
        </w:rPr>
        <w:t xml:space="preserve">Multibeam Sonar Mapping:.</w:t>
      </w:r>
    </w:p>
    <w:p>
      <w:pPr>
        <w:pStyle w:val="BodyText"/>
      </w:pPr>
      <w:r>
        <w:t xml:space="preserve">Spectrophotometric Analysis for Salinity: Analogous to how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measures oceanic salinity, we analyzed the ionic composition of Tigris water samples.</w:t>
      </w:r>
    </w:p>
    <w:p>
      <w:pPr>
        <w:pStyle w:val="BodyText"/>
      </w:pPr>
      <w:r>
        <w:rPr>
          <w:bCs/>
          <w:b/>
        </w:rPr>
        <w:t xml:space="preserve">Numerical Fluid Modeling:.</w:t>
      </w:r>
    </w:p>
    <w:p>
      <w:pPr>
        <w:pStyle w:val="BodyText"/>
      </w:pPr>
      <w:r>
        <w:t xml:space="preserve">Sediment Core Sampling: .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All data collection points were established within a five-kilometer radius along the Tigris riverfront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This strategic placement allowed for real-time comparison of urban runoff impacts against natural flow patterns.</w:t>
      </w:r>
    </w:p>
    <w:bookmarkEnd w:id="20"/>
    <w:bookmarkStart w:id="21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findings from this laboratory report highlight several critical insights regarding the intersection of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methodologies and local hydrology in</w:t>
      </w:r>
    </w:p>
    <w:p>
      <w:pPr>
        <w:pStyle w:val="BodyText"/>
      </w:pPr>
      <w:r>
        <w:t xml:space="preserve">Iraq Baghdad.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iCs/>
          <w:i/>
          <w:iCs/>
          <w:i/>
        </w:rPr>
        <w:t xml:space="preserve">.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The Tigris is currently experiencing higher-than-expected turbidity levels.</w:t>
      </w:r>
    </w:p>
    <w:p>
      <w:pPr>
        <w:pStyle w:val="BodyText"/>
      </w:pPr>
      <w:r>
        <w:rPr>
          <w:bCs/>
          <w:b/>
        </w:rPr>
        <w:t xml:space="preserve">Sediment Transport Rates:</w:t>
      </w:r>
      <w:r>
        <w:t xml:space="preserve"> </w:t>
      </w:r>
      <w:r>
        <w:t xml:space="preserve">.Iraq Baghdad closely mirrors coastal delta dynamics..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Implications for Water Management:.</w:t>
      </w:r>
      <w:r>
        <w:t xml:space="preserve"> </w:t>
      </w:r>
      <w:r>
        <w:t xml:space="preserve">By applying an</w:t>
      </w:r>
    </w:p>
    <w:p>
      <w:pPr>
        <w:pStyle w:val="BodyText"/>
      </w:pPr>
      <w:r>
        <w:t xml:space="preserve">Oceanographer.</w:t>
      </w:r>
    </w:p>
    <w:p>
      <w:pPr>
        <w:pStyle w:val="BodyText"/>
      </w:pPr>
      <w:r>
        <w:t xml:space="preserve">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Oceanographic Applications in Iraq Baghdad</dc:title>
  <dc:creator/>
  <dc:language>en</dc:language>
  <cp:keywords/>
  <dcterms:created xsi:type="dcterms:W3CDTF">2026-09-26T16:51:52Z</dcterms:created>
  <dcterms:modified xsi:type="dcterms:W3CDTF">2026-09-26T16:51:52Z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