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Russia,</w:t>
      </w:r>
      <w:r>
        <w:t xml:space="preserve"> </w:t>
      </w:r>
      <w:r>
        <w:t xml:space="preserve">Moscow</w:t>
      </w:r>
      <w:r>
        <w:t xml:space="preserve"> </w:t>
      </w:r>
      <w:r>
        <w:t xml:space="preserve">Context</w:t>
      </w:r>
    </w:p>
    <w:bookmarkStart w:id="25" w:name="Xa3f85104273dceee5c6e3660f807c081ace69a9"/>
    <w:p>
      <w:pPr>
        <w:pStyle w:val="Heading1"/>
      </w:pPr>
      <w:r>
        <w:t xml:space="preserve">Laboratory Report on Advanced Oceanographic Methodologies</w:t>
      </w:r>
    </w:p>
    <w:p>
      <w:pPr>
        <w:pStyle w:val="FirstParagraph"/>
      </w:pPr>
      <w:r>
        <w:rPr>
          <w:bCs/>
          <w:b/>
        </w:rPr>
        <w:t xml:space="preserve">Date:</w:t>
      </w:r>
      <w:r>
        <w:t xml:space="preserve"> </w:t>
      </w:r>
      <w:r>
        <w:t xml:space="preserve">October 24, 2023</w:t>
      </w:r>
      <w:r>
        <w:br/>
      </w:r>
      <w:r>
        <w:rPr>
          <w:bCs/>
          <w:b/>
        </w:rPr>
        <w:t xml:space="preserve">Institution:</w:t>
      </w:r>
    </w:p>
    <w:p>
      <w:pPr>
        <w:pStyle w:val="BodyText"/>
      </w:pPr>
      <w:r>
        <w:t xml:space="preserve">Location of Administrative Oversight: Russia, Moscow</w:t>
      </w:r>
      <w:r>
        <w:br/>
      </w:r>
    </w:p>
    <w:p>
      <w:pPr>
        <w:pStyle w:val="BodyText"/>
      </w:pPr>
      <w:r>
        <w:t xml:space="preserve">Subject Role Defined: Oceanographer</w:t>
      </w:r>
    </w:p>
    <w:p>
      <w:pPr>
        <w:pStyle w:val="BodyText"/>
      </w:pPr>
      <w:r>
        <w:t xml:space="preserve">&gt;</w:t>
      </w:r>
    </w:p>
    <w:bookmarkStart w:id="20" w:name="introduction-and-scope-of-inquiry"/>
    <w:p>
      <w:pPr>
        <w:pStyle w:val="Heading2"/>
      </w:pPr>
      <w:r>
        <w:t xml:space="preserve">1. Introduction and Scope of Inquiry</w:t>
      </w:r>
    </w:p>
    <w:p>
      <w:pPr>
        <w:pStyle w:val="FirstParagraph"/>
      </w:pPr>
      <w:r>
        <w:t xml:space="preserve">This comprehensive Lab Report serves as a critical documentation of the recent hydrographic and thermodynamic experiments conducted under the auspices of our research division. While the physical execution of these maritime surveys takes place in remote northern latitudes, the strategic oversight, data aggregation, and policy formulation centers are firmly rooted in</w:t>
      </w:r>
      <w:r>
        <w:t xml:space="preserve"> </w:t>
      </w:r>
      <w:r>
        <w:rPr>
          <w:bCs/>
          <w:b/>
        </w:rPr>
        <w:t xml:space="preserve">Russia Moscow</w:t>
      </w:r>
      <w:r>
        <w:t xml:space="preserve">. The primary objective of this report is to detail the operational procedures employed by our lead</w:t>
      </w:r>
      <w:r>
        <w:t xml:space="preserve"> </w:t>
      </w:r>
      <w:r>
        <w:rPr>
          <w:bCs/>
          <w:b/>
        </w:rPr>
        <w:t xml:space="preserve">Oceanographer</w:t>
      </w:r>
      <w:r>
        <w:t xml:space="preserve"> </w:t>
      </w:r>
      <w:r>
        <w:t xml:space="preserve">during the latest survey cycle. It is imperative to note that an</w:t>
      </w:r>
      <w:r>
        <w:t xml:space="preserve"> </w:t>
      </w:r>
      <w:r>
        <w:rPr>
          <w:bCs/>
          <w:b/>
          <w:iCs/>
          <w:i/>
        </w:rPr>
        <w:t xml:space="preserve">Oceanographer plays a pivotal role not only in data collection but also in synthesizing complex marine dynamics into actionable intelligence for national security and environmental sustainability. This document bridges the gap between field observations and administrative requirements, ensuring that all findings are presented with the rigor expected by stakeholders in</w:t>
      </w:r>
      <w:r>
        <w:rPr>
          <w:bCs/>
          <w:b/>
          <w:iCs/>
          <w:i/>
        </w:rPr>
        <w:t xml:space="preserve"> </w:t>
      </w:r>
      <w:r>
        <w:rPr>
          <w:bCs/>
          <w:b/>
          <w:bCs/>
          <w:b/>
          <w:iCs/>
          <w:i/>
        </w:rPr>
        <w:t xml:space="preserve">Russia Moscow</w:t>
      </w:r>
      <w:r>
        <w:rPr>
          <w:bCs/>
          <w:b/>
          <w:iCs/>
          <w:i/>
        </w:rPr>
        <w:t xml:space="preserve">. The distinct geographical isolation of our operational zones requires a specialized approach, one that is meticulously coordinated from our headquarters in</w:t>
      </w:r>
      <w:r>
        <w:rPr>
          <w:bCs/>
          <w:b/>
          <w:iCs/>
          <w:i/>
        </w:rPr>
        <w:t xml:space="preserve"> </w:t>
      </w:r>
      <w:r>
        <w:rPr>
          <w:bCs/>
          <w:b/>
          <w:bCs/>
          <w:b/>
          <w:iCs/>
          <w:i/>
        </w:rPr>
        <w:t xml:space="preserve">Russia Moscow, where every datum is cross-referenced against historical models established by the institute.</w:t>
      </w:r>
    </w:p>
    <w:bookmarkEnd w:id="20"/>
    <w:bookmarkStart w:id="21" w:name="methodology-and-instrumentation"/>
    <w:p>
      <w:pPr>
        <w:pStyle w:val="Heading2"/>
      </w:pPr>
      <w:r>
        <w:t xml:space="preserve">2. Methodology and Instrumentation</w:t>
      </w:r>
    </w:p>
    <w:p>
      <w:pPr>
        <w:pStyle w:val="FirstParagraph"/>
      </w:pPr>
      <w:r>
        <w:t xml:space="preserve">The fieldwork associated with this study was executed using advanced Autonomous Underwater Vehicles (AUVs) and CTD (Conductivity, Temperature, Depth) rosettes. It is the duty of the</w:t>
      </w:r>
      <w:r>
        <w:t xml:space="preserve"> </w:t>
      </w:r>
      <w:r>
        <w:rPr>
          <w:bCs/>
          <w:b/>
        </w:rPr>
        <w:t xml:space="preserve">Oceanographer to calibrate these instruments prior to deployment, ensuring that they can withstand the extreme pressures and freezing temperatures characteristic of our target regions. The data transmission protocols utilized in this study were designed specifically for high-latency environments, allowing real-time updates to be sent via satellite uplinks directly to the processing centers in</w:t>
      </w:r>
      <w:r>
        <w:rPr>
          <w:bCs/>
          <w:b/>
        </w:rPr>
        <w:t xml:space="preserve"> </w:t>
      </w:r>
      <w:r>
        <w:rPr>
          <w:bCs/>
          <w:b/>
          <w:bCs/>
          <w:b/>
        </w:rPr>
        <w:t xml:space="preserve">Russia Moscow</w:t>
      </w:r>
      <w:r>
        <w:rPr>
          <w:bCs/>
          <w:b/>
        </w:rPr>
        <w:t xml:space="preserve">. This connectivity is vital; without it, the role of an</w:t>
      </w:r>
      <w:r>
        <w:rPr>
          <w:bCs/>
          <w:b/>
        </w:rPr>
        <w:t xml:space="preserve"> </w:t>
      </w:r>
      <w:r>
        <w:rPr>
          <w:bCs/>
          <w:b/>
          <w:iCs/>
          <w:i/>
          <w:bCs/>
          <w:b/>
        </w:rPr>
        <w:t xml:space="preserve">Oceanographer would be limited to retrospective analysis rather than dynamic monitoring. The methodology included a multi-stage sampling process: surface water acquisition, mid-water column profiling, and seabed sediment core extraction. Each stage required precise navigation and immediate decision-making capabilities from the on-board</w:t>
      </w:r>
      <w:r>
        <w:rPr>
          <w:bCs/>
          <w:b/>
          <w:iCs/>
          <w:i/>
          <w:bCs/>
          <w:b/>
        </w:rPr>
        <w:t xml:space="preserve"> </w:t>
      </w:r>
      <w:r>
        <w:rPr>
          <w:bCs/>
          <w:b/>
          <w:bCs/>
          <w:b/>
          <w:iCs/>
          <w:i/>
          <w:bCs/>
          <w:b/>
        </w:rPr>
        <w:t xml:space="preserve">Oceanographer</w:t>
      </w:r>
      <w:r>
        <w:rPr>
          <w:bCs/>
          <w:b/>
          <w:iCs/>
          <w:i/>
          <w:bCs/>
          <w:b/>
        </w:rPr>
        <w:t xml:space="preserve">, who monitored the health of the equipment while analyzing initial data streams to determine if subsequent adjustments were necessary for optimal scientific yield.</w:t>
      </w:r>
    </w:p>
    <w:bookmarkEnd w:id="21"/>
    <w:bookmarkStart w:id="22" w:name="X726328f79e23c2ebaec3d8a635c8c1ca06443a4"/>
    <w:p>
      <w:pPr>
        <w:pStyle w:val="Heading2"/>
      </w:pPr>
      <w:r>
        <w:t xml:space="preserve">3. Data Acquisition and Preliminary Analysis</w:t>
      </w:r>
    </w:p>
    <w:p>
      <w:pPr>
        <w:pStyle w:val="FirstParagraph"/>
      </w:pPr>
      <w:r>
        <w:t xml:space="preserve">The datasets acquired during this expedition provide a granular view of the changing thermal profiles in our region’s marine ecosystems. As an expert</w:t>
      </w:r>
      <w:r>
        <w:t xml:space="preserve"> </w:t>
      </w:r>
      <w:r>
        <w:rPr>
          <w:bCs/>
          <w:b/>
        </w:rPr>
        <w:t xml:space="preserve">Oceanographer</w:t>
      </w:r>
      <w:r>
        <w:t xml:space="preserve">, the analysis revealed significant anomalies in salinity levels, which correlate with accelerated glacial melt patterns observed over the past decade. These findings were immediately transmitted to our servers located in</w:t>
      </w:r>
      <w:r>
        <w:t xml:space="preserve"> </w:t>
      </w:r>
      <w:r>
        <w:rPr>
          <w:bCs/>
          <w:b/>
        </w:rPr>
        <w:t xml:space="preserve">Russia Moscow. The team of data scientists in</w:t>
      </w:r>
      <w:r>
        <w:rPr>
          <w:bCs/>
          <w:b/>
        </w:rPr>
        <w:t xml:space="preserve"> </w:t>
      </w:r>
      <w:r>
        <w:rPr>
          <w:bCs/>
          <w:b/>
          <w:iCs/>
          <w:i/>
          <w:bCs/>
          <w:b/>
        </w:rPr>
        <w:t xml:space="preserve">Russia Moscow worked alongside the field</w:t>
      </w:r>
      <w:r>
        <w:rPr>
          <w:bCs/>
          <w:b/>
          <w:iCs/>
          <w:i/>
          <w:bCs/>
          <w:b/>
        </w:rPr>
        <w:t xml:space="preserve"> </w:t>
      </w:r>
      <w:r>
        <w:rPr>
          <w:bCs/>
          <w:b/>
          <w:bCs/>
          <w:b/>
          <w:iCs/>
          <w:i/>
          <w:bCs/>
          <w:b/>
        </w:rPr>
        <w:t xml:space="preserve">Oceanographer to normalize this raw data against global climate models. This collaborative effort highlights the symbiotic relationship between field science and administrative oversight. The preliminary charts indicate a 15% increase in freshwater input compared to the previous fiscal year, a statistic of immense importance for national resource management. The</w:t>
      </w:r>
      <w:r>
        <w:rPr>
          <w:bCs/>
          <w:b/>
          <w:bCs/>
          <w:b/>
          <w:iCs/>
          <w:i/>
          <w:bCs/>
          <w:b/>
        </w:rPr>
        <w:t xml:space="preserve"> </w:t>
      </w:r>
      <w:r>
        <w:rPr>
          <w:bCs/>
          <w:b/>
          <w:iCs/>
          <w:i/>
          <w:bCs/>
          <w:b/>
          <w:bCs/>
          <w:b/>
          <w:iCs/>
          <w:i/>
          <w:bCs/>
          <w:b/>
        </w:rPr>
        <w:t xml:space="preserve">Oceanographer</w:t>
      </w:r>
      <w:r>
        <w:rPr>
          <w:bCs/>
          <w:b/>
          <w:bCs/>
          <w:b/>
          <w:iCs/>
          <w:i/>
          <w:bCs/>
          <w:b/>
        </w:rPr>
        <w:t xml:space="preserve"> </w:t>
      </w:r>
      <w:r>
        <w:rPr>
          <w:bCs/>
          <w:b/>
          <w:bCs/>
          <w:b/>
          <w:iCs/>
          <w:i/>
          <w:bCs/>
          <w:b/>
        </w:rPr>
        <w:t xml:space="preserve">responsible for this data must ensure that all measurements are free from instrumental drift, a task that requires both technical proficiency and scientific intuition.</w:t>
      </w:r>
    </w:p>
    <w:bookmarkEnd w:id="22"/>
    <w:bookmarkStart w:id="23" w:name="X2c03b8d5503167ab7c00eee3be681d3015b03b7"/>
    <w:p>
      <w:pPr>
        <w:pStyle w:val="Heading2"/>
      </w:pPr>
      <w:r>
        <w:t xml:space="preserve">4. Strategic Implications for National Policy</w:t>
      </w:r>
    </w:p>
    <w:p>
      <w:pPr>
        <w:pStyle w:val="FirstParagraph"/>
      </w:pPr>
      <w:r>
        <w:t xml:space="preserve">The insights generated by this laboratory exercise have direct repercussions for the economic and strategic interests of the nation. Shipping lanes in the northern territories are becoming increasingly viable due to receding ice caps, a phenomenon closely monitored by our</w:t>
      </w:r>
      <w:r>
        <w:t xml:space="preserve"> </w:t>
      </w:r>
      <w:r>
        <w:rPr>
          <w:bCs/>
          <w:b/>
        </w:rPr>
        <w:t xml:space="preserve">Oceanographer. The data provided in this report supports infrastructure development plans coordinated from</w:t>
      </w:r>
      <w:r>
        <w:rPr>
          <w:bCs/>
          <w:b/>
        </w:rPr>
        <w:t xml:space="preserve"> </w:t>
      </w:r>
      <w:r>
        <w:rPr>
          <w:bCs/>
          <w:b/>
          <w:iCs/>
          <w:i/>
          <w:bCs/>
          <w:b/>
        </w:rPr>
        <w:t xml:space="preserve">Russia Moscow. By understanding the seasonal variations in sea ice density and thickness, logistics planners can optimize transport routes. Furthermore, the environmental impact assessments conducted by our</w:t>
      </w:r>
      <w:r>
        <w:rPr>
          <w:bCs/>
          <w:b/>
          <w:iCs/>
          <w:i/>
          <w:bCs/>
          <w:b/>
        </w:rPr>
        <w:t xml:space="preserve"> </w:t>
      </w:r>
      <w:r>
        <w:rPr>
          <w:bCs/>
          <w:b/>
          <w:bCs/>
          <w:b/>
          <w:iCs/>
          <w:i/>
          <w:bCs/>
          <w:b/>
        </w:rPr>
        <w:t xml:space="preserve">Oceanographer</w:t>
      </w:r>
      <w:r>
        <w:rPr>
          <w:bCs/>
          <w:b/>
          <w:iCs/>
          <w:i/>
          <w:bCs/>
          <w:b/>
        </w:rPr>
        <w:t xml:space="preserve"> </w:t>
      </w:r>
      <w:r>
        <w:rPr>
          <w:bCs/>
          <w:b/>
          <w:iCs/>
          <w:i/>
          <w:bCs/>
          <w:b/>
        </w:rPr>
        <w:t xml:space="preserve">are crucial for adhering to international environmental treaties. The reporting structure ensures that any ecological anomalies detected in the field are flagged immediately within the administrative hubs of</w:t>
      </w:r>
      <w:r>
        <w:rPr>
          <w:bCs/>
          <w:b/>
          <w:iCs/>
          <w:i/>
          <w:bCs/>
          <w:b/>
        </w:rPr>
        <w:t xml:space="preserve"> </w:t>
      </w:r>
      <w:r>
        <w:rPr>
          <w:bCs/>
          <w:b/>
          <w:iCs/>
          <w:i/>
          <w:bCs/>
          <w:b/>
          <w:iCs/>
          <w:i/>
          <w:bCs/>
          <w:b/>
        </w:rPr>
        <w:t xml:space="preserve">Russia Moscow, allowing for rapid regulatory responses. This level of responsiveness underscores the importance of having a dedicated</w:t>
      </w:r>
      <w:r>
        <w:rPr>
          <w:bCs/>
          <w:b/>
          <w:iCs/>
          <w:i/>
          <w:bCs/>
          <w:b/>
          <w:iCs/>
          <w:i/>
          <w:bCs/>
          <w:b/>
        </w:rPr>
        <w:t xml:space="preserve"> </w:t>
      </w:r>
      <w:r>
        <w:rPr>
          <w:bCs/>
          <w:b/>
          <w:iCs/>
          <w:i/>
          <w:bCs/>
          <w:b/>
          <w:iCs/>
          <w:i/>
          <w:bCs/>
          <w:b/>
          <w:iCs/>
          <w:i/>
          <w:bCs/>
          <w:b/>
        </w:rPr>
        <w:t xml:space="preserve">Oceanographer who not only understands marine biology and physics but also grasps the geopolitical context in which this data operates.</w:t>
      </w:r>
    </w:p>
    <w:bookmarkEnd w:id="23"/>
    <w:bookmarkStart w:id="24" w:name="conclusion-and-future-recommendations"/>
    <w:p>
      <w:pPr>
        <w:pStyle w:val="Heading2"/>
      </w:pPr>
      <w:r>
        <w:t xml:space="preserve">5. Conclusion and Future Recommendations</w:t>
      </w:r>
    </w:p>
    <w:p>
      <w:pPr>
        <w:pStyle w:val="FirstParagraph"/>
      </w:pPr>
      <w:r>
        <w:t xml:space="preserve">In conclusion, this Lab Report confirms that the integration of rigorous field science with centralized administrative oversight is essential for effective marine research. The contributions made by our lead</w:t>
      </w:r>
    </w:p>
    <w:p>
      <w:pPr>
        <w:pStyle w:val="BodyText"/>
      </w:pPr>
      <w:r>
        <w:t xml:space="preserve">Oceanographer have provided invaluable insights into the health of our northern waters. These findings will serve as a baseline for future comparative studies, particularly those focused on long-term climate change impacts. It is recommended that future expeditions maintain the current communication protocols with</w:t>
      </w:r>
    </w:p>
    <w:p>
      <w:pPr>
        <w:pStyle w:val="BodyText"/>
      </w:pPr>
      <w:r>
        <w:t xml:space="preserve">Russia Moscow to ensure continuous data flow and immediate expert consultation. The role of the</w:t>
      </w:r>
      <w:r>
        <w:t xml:space="preserve"> </w:t>
      </w:r>
      <w:r>
        <w:rPr>
          <w:bCs/>
          <w:b/>
        </w:rPr>
        <w:t xml:space="preserve">Oceanographer</w:t>
      </w:r>
      <w:r>
        <w:t xml:space="preserve"> </w:t>
      </w:r>
      <w:r>
        <w:t xml:space="preserve">must continue to evolve, incorporating AI-driven predictive modeling tools that can be accessed remotely from our headquarters in</w:t>
      </w:r>
    </w:p>
    <w:p>
      <w:pPr>
        <w:pStyle w:val="BodyText"/>
      </w:pPr>
      <w:r>
        <w:t xml:space="preserve">Russia Moscow. By maintaining this high standard of scientific inquiry and administrative coordination, we ensure that our nation remains at the forefront of marine research and environmental stewardship. The successful completion of this phase demonstrates the robustness of our operational framework and reaffirms the critical importance of every element within this report, from the technical work in the field to the strategic synthesis performed in</w:t>
      </w:r>
    </w:p>
    <w:p>
      <w:pPr>
        <w:pStyle w:val="BodyText"/>
      </w:pPr>
      <w:r>
        <w:t xml:space="preserve">Russia Moscow.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in Russia, Moscow Context</dc:title>
  <dc:creator/>
  <dc:language>en</dc:language>
  <cp:keywords/>
  <dcterms:created xsi:type="dcterms:W3CDTF">2026-07-29T04:09:40Z</dcterms:created>
  <dcterms:modified xsi:type="dcterms:W3CDTF">2026-07-29T04:09:40Z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