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1d04afe83c0d2122afa10482f22a14e9963827"/>
    <w:p>
      <w:pPr>
        <w:pStyle w:val="Heading1"/>
      </w:pPr>
      <w:r>
        <w:t xml:space="preserve">Laboratory Report on Ophthalmological Standards and Procedures</w:t>
      </w:r>
    </w:p>
    <w:p>
      <w:pPr>
        <w:pStyle w:val="FirstParagraph"/>
      </w:pPr>
      <w:r>
        <w:br/>
      </w:r>
      <w:r>
        <w:rPr>
          <w:bCs/>
          <w:b/>
        </w:rPr>
        <w:t xml:space="preserve">Date:</w:t>
      </w:r>
      <w:r>
        <w:t xml:space="preserve"> </w:t>
      </w:r>
      <w:r>
        <w:t xml:space="preserve">May 24, 2024</w:t>
      </w:r>
      <w:r>
        <w:br/>
      </w:r>
      <w:r>
        <w:rPr>
          <w:bCs/>
          <w:b/>
        </w:rPr>
        <w:t xml:space="preserve">Jurisdiction:</w:t>
      </w:r>
      <w:r>
        <w:t xml:space="preserve"> </w:t>
      </w:r>
      <w:r>
        <w:t xml:space="preserve">Argentina Buenos Aires</w:t>
      </w:r>
      <w:r>
        <w:br/>
      </w:r>
      <w:r>
        <w:rPr>
          <w:bCs/>
          <w:b/>
        </w:rPr>
        <w:t xml:space="preserve">Subject:</w:t>
      </w:r>
      <w:r>
        <w:t xml:space="preserve"> </w:t>
      </w:r>
      <w:r>
        <w:t xml:space="preserve">Comprehensive Analysis of Ophthalmologist Services and Diagnostic Protocols</w:t>
      </w:r>
      <w:r>
        <w:br/>
      </w:r>
    </w:p>
    <w:bookmarkEnd w:id="20"/>
    <w:bookmarkStart w:id="21" w:name="i.-executive-summary"/>
    <w:p>
      <w:pPr>
        <w:pStyle w:val="Heading1"/>
      </w:pPr>
      <w:r>
        <w:t xml:space="preserve">I. Executive Summary</w:t>
      </w:r>
    </w:p>
    <w:p>
      <w:pPr>
        <w:pStyle w:val="FirstParagraph"/>
      </w:pPr>
      <w:r>
        <w:t xml:space="preserve">This document serves as a formal laboratory report detailing the operational, clinical, and regulatory framework surrounding the practice of an</w:t>
      </w:r>
      <w:r>
        <w:t xml:space="preserve"> </w:t>
      </w:r>
      <w:r>
        <w:rPr>
          <w:bCs/>
          <w:b/>
        </w:rPr>
        <w:t xml:space="preserve">Ophthalmologist</w:t>
      </w:r>
      <w:r>
        <w:t xml:space="preserve"> </w:t>
      </w:r>
      <w:r>
        <w:t xml:space="preserve">within the specific geographic and healthcare context of</w:t>
      </w:r>
      <w:r>
        <w:t xml:space="preserve"> </w:t>
      </w:r>
      <w:r>
        <w:rPr>
          <w:bCs/>
          <w:b/>
        </w:rPr>
        <w:t xml:space="preserve">Argentina Buenos Aires</w:t>
      </w:r>
      <w:r>
        <w:t xml:space="preserve">. As one of the most densely populated metropolitan areas in Latin America, Buenos Aires presents unique challenges and opportunities for ocular health management. This report aims to delineate standard operating procedures, technological requirements, and legal obligations that define the modern ophthalmological practice in this region. It is imperative to understand that while medical science is universal, its application within</w:t>
      </w:r>
      <w:r>
        <w:t xml:space="preserve"> </w:t>
      </w:r>
      <w:r>
        <w:rPr>
          <w:bCs/>
          <w:b/>
        </w:rPr>
        <w:t xml:space="preserve">Argentina Buenos Aires</w:t>
      </w:r>
      <w:r>
        <w:t xml:space="preserve"> </w:t>
      </w:r>
      <w:r>
        <w:t xml:space="preserve">requires adherence to local statutes such as those enforced by the Ministry of Health of the Nation and local municipal regulations. The role of an</w:t>
      </w:r>
      <w:r>
        <w:t xml:space="preserve"> </w:t>
      </w:r>
      <w:r>
        <w:rPr>
          <w:bCs/>
          <w:b/>
        </w:rPr>
        <w:t xml:space="preserve">Ophthalmologist</w:t>
      </w:r>
      <w:r>
        <w:t xml:space="preserve"> </w:t>
      </w:r>
      <w:r>
        <w:t xml:space="preserve">here extends beyond clinical diagnosis, involving significant interaction with public health systems like OSEC and private insurance networks, making this report essential for practitioners planning to establish or upgrade facilities in this jurisdiction.</w:t>
      </w:r>
    </w:p>
    <w:bookmarkEnd w:id="21"/>
    <w:bookmarkStart w:id="22" w:name="ii.-introduction-and-regional-context"/>
    <w:p>
      <w:pPr>
        <w:pStyle w:val="Heading1"/>
      </w:pPr>
      <w:r>
        <w:t xml:space="preserve">II. Introduction and Regional Context</w:t>
      </w:r>
    </w:p>
    <w:p>
      <w:pPr>
        <w:pStyle w:val="FirstParagraph"/>
      </w:pPr>
      <w:r>
        <w:t xml:space="preserve">The healthcare landscape in</w:t>
      </w:r>
      <w:r>
        <w:t xml:space="preserve"> </w:t>
      </w:r>
      <w:r>
        <w:rPr>
          <w:bCs/>
          <w:b/>
        </w:rPr>
        <w:t xml:space="preserve">Argentina Buenos Aires</w:t>
      </w:r>
      <w:r>
        <w:t xml:space="preserve"> </w:t>
      </w:r>
      <w:r>
        <w:t xml:space="preserve">is characterized by a mixed system comprising public hospitals, municipal clinics, and a robust private sector. For an</w:t>
      </w:r>
      <w:r>
        <w:t xml:space="preserve"> </w:t>
      </w:r>
      <w:r>
        <w:rPr>
          <w:bCs/>
          <w:b/>
        </w:rPr>
        <w:t xml:space="preserve">Ophthalmologist, operating within this duality requires flexibility and comprehensive knowledge of both advanced diagnostic technologies available in private institutions and the resource-management constraints often found in public centers. The prevalence of ocular conditions in this region, including cataracts, glaucoma, diabetic retinopathy, and refractive errors such as myopia, necessitates a high standard of care.</w:t>
      </w:r>
      <w:r>
        <w:rPr>
          <w:bCs/>
          <w:b/>
        </w:rPr>
        <w:t xml:space="preserve"> </w:t>
      </w:r>
      <w:r>
        <w:rPr>
          <w:bCs/>
          <w:b/>
        </w:rPr>
        <w:t xml:space="preserve">This report outlines the necessary protocols for an</w:t>
      </w:r>
      <w:r>
        <w:rPr>
          <w:bCs/>
          <w:b/>
        </w:rPr>
        <w:t xml:space="preserve"> </w:t>
      </w:r>
      <w:r>
        <w:rPr>
          <w:bCs/>
          <w:b/>
          <w:bCs/>
          <w:b/>
        </w:rPr>
        <w:t xml:space="preserve">Ophthalmologist</w:t>
      </w:r>
      <w:r>
        <w:rPr>
          <w:bCs/>
          <w:b/>
        </w:rPr>
        <w:t xml:space="preserve"> </w:t>
      </w:r>
      <w:r>
        <w:rPr>
          <w:bCs/>
          <w:b/>
        </w:rPr>
        <w:t xml:space="preserve">to ensure compliance with health regulations while maintaining clinical excellence. The focus is not merely on medical treatment but on the integration of diagnostic data into patient records that are recognized throughout the Argentine healthcare system. Furthermore, the specific environmental factors of</w:t>
      </w:r>
      <w:r>
        <w:rPr>
          <w:bCs/>
          <w:b/>
        </w:rPr>
        <w:t xml:space="preserve"> </w:t>
      </w:r>
      <w:r>
        <w:rPr>
          <w:bCs/>
          <w:b/>
          <w:bCs/>
          <w:b/>
        </w:rPr>
        <w:t xml:space="preserve">Argentina Buenos Aires, such as urban pollution and high solar exposure due to its latitude, contribute to distinct epidemiological patterns in eye diseases, which must be accounted for in diagnostic criteria and preventive care strategies.</w:t>
      </w:r>
    </w:p>
    <w:bookmarkEnd w:id="22"/>
    <w:bookmarkStart w:id="23" w:name="X89f4a30972c739cd1656fe72db8564a99856bea"/>
    <w:p>
      <w:pPr>
        <w:pStyle w:val="Heading1"/>
      </w:pPr>
      <w:r>
        <w:t xml:space="preserve">III. Regulatory Framework and Legal Obligations</w:t>
      </w:r>
    </w:p>
    <w:p>
      <w:pPr>
        <w:pStyle w:val="FirstParagraph"/>
      </w:pPr>
      <w:r>
        <w:t xml:space="preserve">Before commencing any ophthalmological procedures, an</w:t>
      </w:r>
      <w:r>
        <w:t xml:space="preserve"> </w:t>
      </w:r>
      <w:r>
        <w:rPr>
          <w:bCs/>
          <w:b/>
        </w:rPr>
        <w:t xml:space="preserve">Ophthalmologist</w:t>
      </w:r>
      <w:r>
        <w:t xml:space="preserve"> </w:t>
      </w:r>
      <w:r>
        <w:t xml:space="preserve">must ensure strict adherence to the regulatory bodies governing medical practice in</w:t>
      </w:r>
      <w:r>
        <w:t xml:space="preserve"> </w:t>
      </w:r>
      <w:r>
        <w:rPr>
          <w:bCs/>
          <w:b/>
        </w:rPr>
        <w:t xml:space="preserve">Argentina Buenos Aires.</w:t>
      </w:r>
      <w:r>
        <w:rPr>
          <w:bCs/>
          <w:b/>
        </w:rPr>
        <w:t xml:space="preserve"> </w:t>
      </w:r>
      <w:r>
        <w:rPr>
          <w:bCs/>
          <w:b/>
        </w:rPr>
        <w:t xml:space="preserve">1.</w:t>
      </w:r>
      <w:r>
        <w:rPr>
          <w:bCs/>
          <w:b/>
          <w:bCs/>
          <w:b/>
        </w:rPr>
        <w:t xml:space="preserve">Colegio Médico de la Provincia de Buenos Aires:</w:t>
      </w:r>
      <w:r>
        <w:rPr>
          <w:bCs/>
          <w:b/>
        </w:rPr>
        <w:t xml:space="preserve"> Registration with the local Medical College is mandatory. This body oversees professional conduct and continuing education requirements specific to practitioners operating in the province, which includes the autonomous city of Buenos Aires.</w:t>
      </w:r>
      <w:r>
        <w:rPr>
          <w:bCs/>
          <w:b/>
        </w:rPr>
        <w:t xml:space="preserve"> </w:t>
      </w:r>
      <w:r>
        <w:rPr>
          <w:bCs/>
          <w:b/>
        </w:rPr>
        <w:t xml:space="preserve">2.</w:t>
      </w:r>
      <w:r>
        <w:rPr>
          <w:bCs/>
          <w:b/>
          <w:bCs/>
          <w:b/>
        </w:rPr>
        <w:t xml:space="preserve">ANMAT (Administración Nacional de Medicamentos, Alimentos y Tecnología Médica):</w:t>
      </w:r>
      <w:r>
        <w:rPr>
          <w:bCs/>
          <w:b/>
        </w:rPr>
        <w:t xml:space="preserve"> Any pharmacological agent or medical device used by an</w:t>
      </w:r>
      <w:r>
        <w:rPr>
          <w:bCs/>
          <w:b/>
        </w:rPr>
        <w:t xml:space="preserve"> </w:t>
      </w:r>
      <w:r>
        <w:rPr>
          <w:bCs/>
          <w:b/>
          <w:bCs/>
          <w:b/>
        </w:rPr>
        <w:t xml:space="preserve">Ophthalmologist, particularly intraocular lenses for surgery or specialized diagnostic imaging equipment, must be authorized by ANMAT. This ensures that all materials meet safety and efficacy standards approved for the Argentine market.</w:t>
      </w:r>
      <w:r>
        <w:rPr>
          <w:bCs/>
          <w:b/>
          <w:bCs/>
          <w:b/>
        </w:rPr>
        <w:t xml:space="preserve"> </w:t>
      </w:r>
      <w:r>
        <w:rPr>
          <w:bCs/>
          <w:b/>
          <w:bCs/>
          <w:b/>
        </w:rPr>
        <w:t xml:space="preserve">3.</w:t>
      </w:r>
      <w:r>
        <w:rPr>
          <w:bCs/>
          <w:b/>
          <w:bCs/>
          <w:b/>
          <w:bCs/>
          <w:b/>
        </w:rPr>
        <w:t xml:space="preserve">Local Health Ordinances: The City of Buenos Aires has specific municipal ordinances regarding hygiene and waste disposal, particularly biohazardous waste generated during surgical procedures or diagnostic tests involving biological fluids. Compliance with these local laws is critical to avoiding sanctions and ensuring patient safety.</w:t>
      </w:r>
    </w:p>
    <w:bookmarkEnd w:id="23"/>
    <w:bookmarkStart w:id="28" w:name="X6929869df952f540435b93fc8e93689c6a80feb"/>
    <w:p>
      <w:pPr>
        <w:pStyle w:val="Heading1"/>
      </w:pPr>
      <w:r>
        <w:t xml:space="preserve">IV. Diagnostic Protocols and Laboratory Standards</w:t>
      </w:r>
    </w:p>
    <w:p>
      <w:pPr>
        <w:pStyle w:val="FirstParagraph"/>
      </w:pPr>
      <w:r>
        <w:t xml:space="preserve">The core function of an</w:t>
      </w:r>
      <w:r>
        <w:t xml:space="preserve"> </w:t>
      </w:r>
      <w:r>
        <w:rPr>
          <w:bCs/>
          <w:b/>
        </w:rPr>
        <w:t xml:space="preserve">Ophthalmologist</w:t>
      </w:r>
      <w:r>
        <w:t xml:space="preserve"> </w:t>
      </w:r>
      <w:r>
        <w:t xml:space="preserve">relies heavily on accurate diagnostics. In the context of</w:t>
      </w:r>
      <w:r>
        <w:t xml:space="preserve"> </w:t>
      </w:r>
      <w:r>
        <w:rPr>
          <w:bCs/>
          <w:b/>
        </w:rPr>
        <w:t xml:space="preserve">Argentina Buenos Aires, where patient volume can be high, efficient yet thorough diagnostic protocols are essential. This section details the standard laboratory tests and examinations required for comprehensive eye care.</w:t>
      </w:r>
    </w:p>
    <w:bookmarkStart w:id="24" w:name="a.octopus-visual-field-testing-perimetry"/>
    <w:p>
      <w:pPr>
        <w:pStyle w:val="Heading3"/>
      </w:pPr>
      <w:r>
        <w:t xml:space="preserve">A.Octopus Visual Field Testing (Perimetry)</w:t>
      </w:r>
    </w:p>
    <w:p>
      <w:pPr>
        <w:pStyle w:val="FirstParagraph"/>
      </w:pPr>
      <w:r>
        <w:t xml:space="preserve">For patients suspected of having glaucoma or neurological conditions affecting vision, automated perimetry is a cornerstone of diagnosis. In</w:t>
      </w:r>
      <w:r>
        <w:t xml:space="preserve"> </w:t>
      </w:r>
      <w:r>
        <w:rPr>
          <w:bCs/>
          <w:b/>
        </w:rPr>
        <w:t xml:space="preserve">Argentina Buenos Aires</w:t>
      </w:r>
      <w:r>
        <w:t xml:space="preserve">, the G1 and SITA strategies are commonly used. The laboratory report must document baseline sensitivity values across the 24-2 and 30-2 grids. Consistency in test execution is vital, as fluctuations can lead to misdiagnosis. The</w:t>
      </w:r>
      <w:r>
        <w:t xml:space="preserve"> </w:t>
      </w:r>
      <w:r>
        <w:rPr>
          <w:bCs/>
          <w:b/>
        </w:rPr>
        <w:t xml:space="preserve">Ophthalmologist</w:t>
      </w:r>
      <w:r>
        <w:t xml:space="preserve"> </w:t>
      </w:r>
      <w:r>
        <w:t xml:space="preserve">must ensure that calibration records for these machines are maintained monthly, adhering to international standards accepted by local insurers for reimbursement purposes.</w:t>
      </w:r>
    </w:p>
    <w:bookmarkEnd w:id="24"/>
    <w:bookmarkStart w:id="25" w:name="b.optical-coherence-tomography-oct"/>
    <w:p>
      <w:pPr>
        <w:pStyle w:val="Heading3"/>
      </w:pPr>
      <w:r>
        <w:t xml:space="preserve">B.Optical Coherence Tomography (OCT)</w:t>
      </w:r>
    </w:p>
    <w:p>
      <w:pPr>
        <w:pStyle w:val="FirstParagraph"/>
      </w:pPr>
      <w:r>
        <w:t xml:space="preserve">OCT has revolutionized the assessment of the retina and optic nerve head. For an</w:t>
      </w:r>
      <w:r>
        <w:t xml:space="preserve"> </w:t>
      </w:r>
      <w:r>
        <w:rPr>
          <w:bCs/>
          <w:b/>
        </w:rPr>
        <w:t xml:space="preserve">Ophthalmologist in this region, providing high-resolution scans is crucial for detecting early signs of Age-Related Macular Degeneration (AMD) and diabetic macular edema. The laboratory report must include detailed measurements of retinal thickness maps and neuroretinal rim analysis. These data points are often required by insurance companies in</w:t>
      </w:r>
      <w:r>
        <w:rPr>
          <w:bCs/>
          <w:b/>
        </w:rPr>
        <w:t xml:space="preserve"> </w:t>
      </w:r>
      <w:r>
        <w:rPr>
          <w:bCs/>
          <w:b/>
          <w:bCs/>
          <w:b/>
        </w:rPr>
        <w:t xml:space="preserve">Argentina Buenos Aires, such as Swiss Medical or OSDE, to approve treatment plans involving anti-VEGF injections or surgical interventions.</w:t>
      </w:r>
    </w:p>
    <w:bookmarkEnd w:id="25"/>
    <w:bookmarkStart w:id="26" w:name="c.corneal-topography"/>
    <w:p>
      <w:pPr>
        <w:pStyle w:val="Heading3"/>
      </w:pPr>
      <w:r>
        <w:t xml:space="preserve">C.Corneal Topography</w:t>
      </w:r>
    </w:p>
    <w:p>
      <w:pPr>
        <w:pStyle w:val="FirstParagraph"/>
      </w:pPr>
      <w:r>
        <w:t xml:space="preserve">With the rising demand for refractive surgery (LASIK, PRK) in urban centers like</w:t>
      </w:r>
      <w:r>
        <w:t xml:space="preserve"> </w:t>
      </w:r>
      <w:r>
        <w:rPr>
          <w:bCs/>
          <w:b/>
        </w:rPr>
        <w:t xml:space="preserve">Argentina Buenos Aires, corneal topography is indispensable. This technology maps the curvature of the cornea to detect irregularities such as keratoconus. The laboratory report must clearly display Placido disc images and elevation data. Any deviation from normal pachymetry (corneal thickness) patterns must be flagged by the</w:t>
      </w:r>
      <w:r>
        <w:rPr>
          <w:bCs/>
          <w:b/>
        </w:rPr>
        <w:t xml:space="preserve"> </w:t>
      </w:r>
      <w:r>
        <w:rPr>
          <w:bCs/>
          <w:b/>
          <w:bCs/>
          <w:b/>
        </w:rPr>
        <w:t xml:space="preserve">Ophthalmologist to prevent post-surgical complications, a significant legal liability in the region.</w:t>
      </w:r>
    </w:p>
    <w:bookmarkEnd w:id="26"/>
    <w:bookmarkStart w:id="27" w:name="X543a0651538fbf11ead10f01fe8d9a858c190d0"/>
    <w:p>
      <w:pPr>
        <w:pStyle w:val="Heading3"/>
      </w:pPr>
      <w:r>
        <w:t xml:space="preserve">D.Intraocular Pressure Measurement (Tonometry)</w:t>
      </w:r>
    </w:p>
    <w:p>
      <w:pPr>
        <w:pStyle w:val="FirstParagraph"/>
      </w:pPr>
      <w:r>
        <w:t xml:space="preserve">Goldmann applanation tonometry remains the gold standard for measuring intraocular pressure (IOP). However, non-contact air-puff tonometers are also frequently used in primary care settings within</w:t>
      </w:r>
      <w:r>
        <w:t xml:space="preserve"> </w:t>
      </w:r>
      <w:r>
        <w:rPr>
          <w:bCs/>
          <w:b/>
        </w:rPr>
        <w:t xml:space="preserve">Argentina Buenos Aires</w:t>
      </w:r>
      <w:r>
        <w:t xml:space="preserve">. The laboratory report should correlate IOP readings with corneal thickness measurements, as thinner corneas can yield falsely low pressures. This adjustment is a critical step for an</w:t>
      </w:r>
      <w:r>
        <w:t xml:space="preserve"> </w:t>
      </w:r>
      <w:r>
        <w:rPr>
          <w:bCs/>
          <w:b/>
        </w:rPr>
        <w:t xml:space="preserve">Ophthalmologist to avoid under-treating glaucoma.</w:t>
      </w:r>
    </w:p>
    <w:bookmarkEnd w:id="27"/>
    <w:bookmarkEnd w:id="28"/>
    <w:bookmarkStart w:id="29" w:name="Xb5f4ddbeccb8744f5bcfbf5a42f3890e70b6eaa"/>
    <w:p>
      <w:pPr>
        <w:pStyle w:val="Heading1"/>
      </w:pPr>
      <w:r>
        <w:t xml:space="preserve">V. Surgical Safety and Post-Operative Care</w:t>
      </w:r>
    </w:p>
    <w:p>
      <w:pPr>
        <w:pStyle w:val="FirstParagraph"/>
      </w:pPr>
      <w:r>
        <w:t xml:space="preserve">For surgical procedures, such as cataract extraction or vitrectomy, the laboratory report extends into pre-operative screening and post-operative monitoring. In</w:t>
      </w:r>
      <w:r>
        <w:t xml:space="preserve"> </w:t>
      </w:r>
      <w:r>
        <w:rPr>
          <w:bCs/>
          <w:b/>
        </w:rPr>
        <w:t xml:space="preserve">Argentina Buenos Aires, antibiotic resistance patterns may vary, making pre-surgical bacterial cultures sometimes necessary for high-risk patients. The</w:t>
      </w:r>
      <w:r>
        <w:rPr>
          <w:bCs/>
          <w:b/>
        </w:rPr>
        <w:t xml:space="preserve"> </w:t>
      </w:r>
      <w:r>
        <w:rPr>
          <w:bCs/>
          <w:b/>
          <w:bCs/>
          <w:b/>
        </w:rPr>
        <w:t xml:space="preserve">Ophthalmologist</w:t>
      </w:r>
      <w:r>
        <w:rPr>
          <w:bCs/>
          <w:b/>
        </w:rPr>
        <w:t xml:space="preserve"> </w:t>
      </w:r>
      <w:r>
        <w:rPr>
          <w:bCs/>
          <w:b/>
        </w:rPr>
        <w:t xml:space="preserve">must document the choice of prophylactic antibiotics based on local resistance data. Post-operatively, follow-up schedules must be rigidly adhered to in order to detect infections like endophthalmitis early. The documentation of these visits is a legal requirement that protects both the patient and the practitioner in case of adverse outcomes.</w:t>
      </w:r>
    </w:p>
    <w:bookmarkEnd w:id="29"/>
    <w:bookmarkStart w:id="30" w:name="vi.-data-privacy-and-patient-records"/>
    <w:p>
      <w:pPr>
        <w:pStyle w:val="Heading1"/>
      </w:pPr>
      <w:r>
        <w:t xml:space="preserve">VI. Data Privacy and Patient Records</w:t>
      </w:r>
    </w:p>
    <w:p>
      <w:pPr>
        <w:pStyle w:val="FirstParagraph"/>
      </w:pPr>
      <w:r>
        <w:t xml:space="preserve">In alignment with Law 25,326 on Personal Data Protection in Argentina, the handling of patient data by an</w:t>
      </w:r>
      <w:r>
        <w:t xml:space="preserve"> </w:t>
      </w:r>
      <w:r>
        <w:rPr>
          <w:bCs/>
          <w:b/>
        </w:rPr>
        <w:t xml:space="preserve">Ophthalmologist must be secure. All laboratory reports containing personal health information from patients in</w:t>
      </w:r>
      <w:r>
        <w:rPr>
          <w:bCs/>
          <w:b/>
        </w:rPr>
        <w:t xml:space="preserve"> </w:t>
      </w:r>
      <w:r>
        <w:rPr>
          <w:bCs/>
          <w:b/>
          <w:bCs/>
          <w:b/>
        </w:rPr>
        <w:t xml:space="preserve">Argentina Buenos Aires must be stored in encrypted digital formats or secure physical files accessible only to authorized medical staff. Breaches of this privacy not only violate ethical standards but can result in severe legal penalties under national law.</w:t>
      </w:r>
    </w:p>
    <w:bookmarkEnd w:id="30"/>
    <w:bookmarkStart w:id="31" w:name="vii.-conclusion"/>
    <w:p>
      <w:pPr>
        <w:pStyle w:val="Heading1"/>
      </w:pPr>
      <w:r>
        <w:t xml:space="preserve">VII. Conclusion</w:t>
      </w:r>
    </w:p>
    <w:p>
      <w:pPr>
        <w:pStyle w:val="FirstParagraph"/>
      </w:pPr>
      <w:r>
        <w:t xml:space="preserve">This laboratory report underscores the multifaceted nature of ophthalmological practice within</w:t>
      </w:r>
      <w:r>
        <w:t xml:space="preserve"> </w:t>
      </w:r>
      <w:r>
        <w:rPr>
          <w:bCs/>
          <w:b/>
        </w:rPr>
        <w:t xml:space="preserve">Argentina Buenos Aires. It is evident that an</w:t>
      </w:r>
      <w:r>
        <w:rPr>
          <w:bCs/>
          <w:b/>
        </w:rPr>
        <w:t xml:space="preserve"> </w:t>
      </w:r>
      <w:r>
        <w:rPr>
          <w:bCs/>
          <w:b/>
          <w:bCs/>
          <w:b/>
        </w:rPr>
        <w:t xml:space="preserve">Ophthalmologist</w:t>
      </w:r>
      <w:r>
        <w:rPr>
          <w:bCs/>
          <w:b/>
        </w:rPr>
        <w:t xml:space="preserve"> </w:t>
      </w:r>
      <w:r>
        <w:rPr>
          <w:bCs/>
          <w:b/>
        </w:rPr>
        <w:t xml:space="preserve">must navigate a complex web of clinical, technological, and regulatory demands. From the specific diagnostic tools required for accurate assessment to the legal frameworks governing patient data and medical device usage, every aspect of care is influenced by the local context.</w:t>
      </w:r>
      <w:r>
        <w:rPr>
          <w:bCs/>
          <w:b/>
        </w:rPr>
        <w:t xml:space="preserve"> </w:t>
      </w:r>
      <w:r>
        <w:rPr>
          <w:bCs/>
          <w:b/>
        </w:rPr>
        <w:t xml:space="preserve">For practitioners operating in or considering entry into this market, compliance with these standards is not optional but foundational to sustainable practice. The integration of advanced diagnostics like OCT and topography with rigorous adherence to ANMAT and municipal regulations ensures that an</w:t>
      </w:r>
      <w:r>
        <w:rPr>
          <w:bCs/>
          <w:b/>
        </w:rPr>
        <w:t xml:space="preserve"> </w:t>
      </w:r>
      <w:r>
        <w:rPr>
          <w:bCs/>
          <w:b/>
          <w:bCs/>
          <w:b/>
        </w:rPr>
        <w:t xml:space="preserve">Ophthalmologist</w:t>
      </w:r>
      <w:r>
        <w:rPr>
          <w:bCs/>
          <w:b/>
        </w:rPr>
        <w:t xml:space="preserve"> </w:t>
      </w:r>
      <w:r>
        <w:rPr>
          <w:bCs/>
          <w:b/>
        </w:rPr>
        <w:t xml:space="preserve">can provide world-class care tailored to the needs of the population in</w:t>
      </w:r>
      <w:r>
        <w:rPr>
          <w:bCs/>
          <w:b/>
        </w:rPr>
        <w:t xml:space="preserve"> </w:t>
      </w:r>
      <w:r>
        <w:rPr>
          <w:bCs/>
          <w:b/>
          <w:bCs/>
          <w:b/>
        </w:rPr>
        <w:t xml:space="preserve">Argentina Buenos Aires. Future developments in tele-ophthalmology may further expand reach, but the core laboratory diagnostics and direct patient interaction outlined herein will remain central to effective eye health management. Continuous education and adaptation to local healthcare reforms are essential for any medical professional dedicated to excellence in ophthalmology within this vibrant Argentine city.</w:t>
      </w:r>
    </w:p>
    <w:p>
      <w:r>
        <w:pict>
          <v:rect style="width:0;height:1.5pt" o:hralign="center" o:hrstd="t" o:hr="t"/>
        </w:pict>
      </w:r>
    </w:p>
    <w:p>
      <w:pPr>
        <w:pStyle w:val="FirstParagraph"/>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Argentina, Buenos Aires</dc:title>
  <dc:creator/>
  <cp:keywords/>
  <dcterms:created xsi:type="dcterms:W3CDTF">2026-07-29T14:06:06Z</dcterms:created>
  <dcterms:modified xsi:type="dcterms:W3CDTF">2026-07-29T14:06:06Z</dcterms:modified>
</cp:coreProperties>
</file>

<file path=docProps/custom.xml><?xml version="1.0" encoding="utf-8"?>
<Properties xmlns="http://schemas.openxmlformats.org/officeDocument/2006/custom-properties" xmlns:vt="http://schemas.openxmlformats.org/officeDocument/2006/docPropsVTypes"/>
</file>