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Ophthalmological</w:t>
      </w:r>
      <w:r>
        <w:t xml:space="preserve"> </w:t>
      </w:r>
      <w:r>
        <w:t xml:space="preserve">Assessment:</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for</w:t>
      </w:r>
      <w:r>
        <w:t xml:space="preserve"> </w:t>
      </w:r>
      <w:r>
        <w:t xml:space="preserve">Australia</w:t>
      </w:r>
      <w:r>
        <w:t xml:space="preserve"> </w:t>
      </w:r>
      <w:r>
        <w:t xml:space="preserve">Brisbane</w:t>
      </w:r>
    </w:p>
    <w:bookmarkStart w:id="20" w:name="X1a80f21ab7b7c2dd0ce8f6c5ba5ae17315de627"/>
    <w:p>
      <w:pPr>
        <w:pStyle w:val="Heading1"/>
      </w:pPr>
      <w:r>
        <w:t xml:space="preserve">Clinical Ophthalmological Assessment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Brisbane Specialist Eye Clinic</w:t>
      </w:r>
      <w:r>
        <w:br/>
      </w:r>
      <w:r>
        <w:rPr>
          <w:bCs/>
          <w:b/>
        </w:rPr>
        <w:t xml:space="preserve">Patient ID:</w:t>
      </w:r>
      <w:r>
        <w:t xml:space="preserve"> </w:t>
      </w:r>
      <w:r>
        <w:t xml:space="preserve">BNE-OPH-9981-X</w:t>
      </w:r>
      <w:r>
        <w:br/>
      </w:r>
    </w:p>
    <w:p>
      <w:pPr>
        <w:pStyle w:val="BodyText"/>
      </w:pPr>
      <w:r>
        <w:t xml:space="preserve">Location Reference:** Australia Brisbane</w:t>
      </w:r>
    </w:p>
    <w:bookmarkEnd w:id="20"/>
    <w:bookmarkStart w:id="21" w:name="abstract"/>
    <w:p>
      <w:pPr>
        <w:pStyle w:val="Heading2"/>
      </w:pPr>
      <w:r>
        <w:t xml:space="preserve">1. Abstract</w:t>
      </w:r>
    </w:p>
    <w:p>
      <w:pPr>
        <w:pStyle w:val="FirstParagraph"/>
      </w:pPr>
      <w:r>
        <w:t xml:space="preserve">This document serves as a comprehensive laboratory and clinical report detailing the ophthalmological evaluation protocols, diagnostic findings, and therapeutic interventions relevant to patient care in the specific geographical and medical context of Australia Brisbane. The primary objective of this report is to outline the rigorous standards applied by an Ophthalmologist when addressing complex visual disorders within this region. Given that Australia Brisbane exhibits unique environmental factors—such as high ultraviolet (UV) radiation levels and distinct demographic health trends—the assessment procedures are tailored to mitigate risks associated with photokeratitis, pterygium, and age-related macular degeneration. This report synthesizes clinical data with local healthcare guidelines to ensure optimal outcomes for patients presenting with acute and chronic ocular conditions.</w:t>
      </w:r>
    </w:p>
    <w:bookmarkEnd w:id="21"/>
    <w:bookmarkStart w:id="22" w:name="introduction"/>
    <w:p>
      <w:pPr>
        <w:pStyle w:val="Heading2"/>
      </w:pPr>
      <w:r>
        <w:t xml:space="preserve">2. Introduction</w:t>
      </w:r>
    </w:p>
    <w:p>
      <w:pPr>
        <w:pStyle w:val="FirstParagraph"/>
      </w:pPr>
      <w:r>
        <w:t xml:space="preserve">Ophthalmology is a specialized branch of medicine that focuses on the diagnosis and treatment of eye disorders. In the context of Australia Brisbane, where sun exposure is intense for much of the year, ophthalmological care requires a heightened awareness of environmental impacts on ocular health. An Ophthalmologist operating in this jurisdiction must possess specialized training not only in medical and surgical eye care but also in managing conditions exacerbated by local climatic conditions.</w:t>
      </w:r>
    </w:p>
    <w:p>
      <w:pPr>
        <w:pStyle w:val="BodyText"/>
      </w:pPr>
      <w:r>
        <w:t xml:space="preserve">The purpose of this Lab Report is to document the standard operating procedures, diagnostic technologies, and clinical reasoning processes employed during patient consultations. It highlights the intersection between advanced ophthalmic technology and the specific healthcare infrastructure available in Australia Brisbane. By examining case data and procedural standards, this report aims to demonstrate how precise clinical interventions can prevent vision loss and improve quality of life for residents in this region.</w:t>
      </w:r>
    </w:p>
    <w:bookmarkEnd w:id="22"/>
    <w:bookmarkStart w:id="25" w:name="methodology"/>
    <w:p>
      <w:pPr>
        <w:pStyle w:val="Heading2"/>
      </w:pPr>
      <w:r>
        <w:t xml:space="preserve">3. Methodology</w:t>
      </w:r>
    </w:p>
    <w:p>
      <w:pPr>
        <w:pStyle w:val="FirstParagraph"/>
      </w:pPr>
      <w:r>
        <w:t xml:space="preserve">The methodology section outlines the diagnostic framework utilized by the Ophthalmologist. This framework is designed to be thorough, non-invasive where possible, and highly accurate. The procedures are aligned with Australian medical standards and adapted to the local context of Australia Brisbane.</w:t>
      </w:r>
    </w:p>
    <w:bookmarkStart w:id="23" w:name="initial-patient-history"/>
    <w:p>
      <w:pPr>
        <w:pStyle w:val="Heading3"/>
      </w:pPr>
      <w:r>
        <w:t xml:space="preserve">3.1 Initial Patient History</w:t>
      </w:r>
    </w:p>
    <w:p>
      <w:pPr>
        <w:pStyle w:val="FirstParagraph"/>
      </w:pPr>
      <w:r>
        <w:t xml:space="preserve">The first stage involves a detailed subjective examination. The Ophthalmologist collects data regarding family history of eye diseases (such as glaucoma or cataracts), current medication usage, and exposure risks specific to the Australian environment, including occupational exposure to dust, chemicals, or prolonged UV radiation.</w:t>
      </w:r>
    </w:p>
    <w:bookmarkEnd w:id="23"/>
    <w:bookmarkStart w:id="24" w:name="visual-acuity-testing"/>
    <w:p>
      <w:pPr>
        <w:pStyle w:val="Heading3"/>
      </w:pPr>
      <w:r>
        <w:t xml:space="preserve">3.2 Visual Acuity Testing</w:t>
      </w:r>
    </w:p>
    <w:p>
      <w:pPr>
        <w:pStyle w:val="FirstParagraph"/>
      </w:pPr>
      <w:r>
        <w:t xml:space="preserve">All patients undergo standard visual acuity testing using Snellen charts. This baseline measurement is crucial for detecting refractive errors (myopia, hyperopia, astigmatism) and early signs of ocular pathology.</w:t>
      </w:r>
    </w:p>
    <w:bookmarkEnd w:id="24"/>
    <w:bookmarkEnd w:id="25"/>
    <w:bookmarkStart w:id="29" w:name="diagnostics"/>
    <w:p>
      <w:pPr>
        <w:pStyle w:val="Heading2"/>
      </w:pPr>
      <w:r>
        <w:t xml:space="preserve">4. Diagnostic Procedures</w:t>
      </w:r>
    </w:p>
    <w:p>
      <w:pPr>
        <w:pStyle w:val="FirstParagraph"/>
      </w:pPr>
      <w:r>
        <w:t xml:space="preserve">In a modern ophthalmology practice in Australia Brisbane, technology plays a pivotal role in diagnosis. The following diagnostic tools are standard:</w:t>
      </w:r>
    </w:p>
    <w:bookmarkStart w:id="26" w:name="slit-lamp-biomicroscopy"/>
    <w:p>
      <w:pPr>
        <w:pStyle w:val="Heading3"/>
      </w:pPr>
      <w:r>
        <w:t xml:space="preserve">4.1 Slit-Lamp Biomicroscopy</w:t>
      </w:r>
    </w:p>
    <w:p>
      <w:pPr>
        <w:pStyle w:val="FirstParagraph"/>
      </w:pPr>
      <w:r>
        <w:t xml:space="preserve">This instrument allows the Ophthalmologist to examine the structures of the eye at high magnification, including the eyelids, sclera, conjunctiva, cornea, anterior chamber and iris. It is essential for detecting cataracts and signs of dry eye syndrome.</w:t>
      </w:r>
    </w:p>
    <w:bookmarkEnd w:id="26"/>
    <w:bookmarkStart w:id="27" w:name="optical-coherence-tomography-oct"/>
    <w:p>
      <w:pPr>
        <w:pStyle w:val="Heading3"/>
      </w:pPr>
      <w:r>
        <w:t xml:space="preserve">4.2 Optical Coherence Tomography (OCT)</w:t>
      </w:r>
    </w:p>
    <w:p>
      <w:pPr>
        <w:pStyle w:val="FirstParagraph"/>
      </w:pPr>
      <w:r>
        <w:t xml:space="preserve">OCT provides cross-sectional images of the retina. This non-invasive imaging test is critical for diagnosing macular degeneration, diabetic retinopathy, and macular holes. Given the aging population in Australia Brisbane, OCT is frequently utilized to monitor chronic conditions.</w:t>
      </w:r>
    </w:p>
    <w:bookmarkEnd w:id="27"/>
    <w:bookmarkStart w:id="28" w:name="tonometry"/>
    <w:p>
      <w:pPr>
        <w:pStyle w:val="Heading3"/>
      </w:pPr>
      <w:r>
        <w:t xml:space="preserve">4.3 Tonometry</w:t>
      </w:r>
    </w:p>
    <w:p>
      <w:pPr>
        <w:pStyle w:val="FirstParagraph"/>
      </w:pPr>
      <w:r>
        <w:t xml:space="preserve">Intraocular pressure (IOP) measurement is vital for glaucoma screening. Non-contact tonometry ("air puff") or applanation tonometry are used to ensure accurate readings, which guide the decision-making process for potential glaucoma treatment.</w:t>
      </w:r>
    </w:p>
    <w:bookmarkEnd w:id="28"/>
    <w:bookmarkEnd w:id="29"/>
    <w:bookmarkStart w:id="30" w:name="findings"/>
    <w:p>
      <w:pPr>
        <w:pStyle w:val="Heading2"/>
      </w:pPr>
      <w:r>
        <w:t xml:space="preserve">5. Clinical Findings and Observations</w:t>
      </w:r>
    </w:p>
    <w:p>
      <w:pPr>
        <w:pStyle w:val="FirstParagraph"/>
      </w:pPr>
      <w:r>
        <w:t xml:space="preserve">Data collected from recent patient cohorts in Australia Brisbane reveals several common trends that an Ophthalmologist must address:</w:t>
      </w:r>
    </w:p>
    <w:p>
      <w:pPr>
        <w:numPr>
          <w:ilvl w:val="0"/>
          <w:numId w:val="1001"/>
        </w:numPr>
        <w:pStyle w:val="Compact"/>
      </w:pPr>
      <w:r>
        <w:rPr>
          <w:bCs/>
          <w:b/>
        </w:rPr>
        <w:t xml:space="preserve">Cataract Prevalence:</w:t>
      </w:r>
      <w:r>
        <w:t xml:space="preserve"> </w:t>
      </w:r>
      <w:r>
        <w:t xml:space="preserve">Due to chronic sun exposure, there is a higher incidence of cortical cataracts. The data indicates that early intervention through phacoemulsification surgery yields excellent visual recovery rates.</w:t>
      </w:r>
    </w:p>
    <w:p>
      <w:pPr>
        <w:numPr>
          <w:ilvl w:val="0"/>
          <w:numId w:val="1001"/>
        </w:numPr>
        <w:pStyle w:val="Compact"/>
      </w:pPr>
      <w:r>
        <w:rPr>
          <w:bCs/>
          <w:b/>
        </w:rPr>
        <w:t xml:space="preserve">Pterygium and Pinguecula:</w:t>
      </w:r>
      <w:r>
        <w:t xml:space="preserve"> </w:t>
      </w:r>
      <w:r>
        <w:t xml:space="preserve">These growths on the conjunctiva are frequently observed in patients who spend significant time outdoors. The lab report notes a strong correlation between outdoor occupational hazards in Brisbane's subtropical climate and the development of these conditions.</w:t>
      </w:r>
    </w:p>
    <w:p>
      <w:pPr>
        <w:numPr>
          <w:ilvl w:val="0"/>
          <w:numId w:val="1001"/>
        </w:numPr>
        <w:pStyle w:val="Compact"/>
      </w:pPr>
      <w:r>
        <w:rPr>
          <w:bCs/>
          <w:b/>
        </w:rPr>
        <w:t xml:space="preserve">Dry Eye Syndrome:</w:t>
      </w:r>
      <w:r>
        <w:t xml:space="preserve"> </w:t>
      </w:r>
      <w:r>
        <w:t xml:space="preserve">Environmental factors such as wind and low humidity contribute to evaporative dry eye. Artificial tears and anti-inflammatory treatments are commonly prescribed.</w:t>
      </w:r>
    </w:p>
    <w:bookmarkEnd w:id="30"/>
    <w:bookmarkStart w:id="31" w:name="discussion"/>
    <w:p>
      <w:pPr>
        <w:pStyle w:val="Heading2"/>
      </w:pPr>
      <w:r>
        <w:t xml:space="preserve">6. Discussion</w:t>
      </w:r>
    </w:p>
    <w:p>
      <w:pPr>
        <w:pStyle w:val="FirstParagraph"/>
      </w:pPr>
      <w:r>
        <w:t xml:space="preserve">The integration of advanced diagnostic tools with local environmental awareness is the hallmark of effective ophthalmological care in Australia Brisbane. An Ophthalmologist must balance surgical expertise with preventive medicine strategies. For instance, patient education regarding UV protection (sunglasses with 100% UVA/UVB protection) is a critical component of the consultation process.</w:t>
      </w:r>
    </w:p>
    <w:p>
      <w:pPr>
        <w:pStyle w:val="BodyText"/>
      </w:pPr>
      <w:r>
        <w:t xml:space="preserve">Furthermore, the report discusses the importance of multidisciplinary care. Many patients in Australia Brisbane present with systemic conditions like diabetes and hypertension, which have direct ocular manifestations. The Ophthalmologist collaborates with general practitioners and endocrinologists to provide holistic care. This collaborative approach ensures that retinopathy is detected early, preventing severe vision loss.</w:t>
      </w:r>
    </w:p>
    <w:p>
      <w:pPr>
        <w:pStyle w:val="BodyText"/>
      </w:pPr>
      <w:r>
        <w:t xml:space="preserve">The use of tele-ophthalmology has also expanded in the region, allowing for remote monitoring of stable patients in rural areas surrounding Australia Brisbane. This innovation improves access to specialized care and reduces the burden on urban hospital facilities.</w:t>
      </w:r>
    </w:p>
    <w:bookmarkEnd w:id="31"/>
    <w:bookmarkStart w:id="32" w:name="conclusion"/>
    <w:p>
      <w:pPr>
        <w:pStyle w:val="Heading2"/>
      </w:pPr>
      <w:r>
        <w:t xml:space="preserve">7. Conclusion</w:t>
      </w:r>
    </w:p>
    <w:p>
      <w:pPr>
        <w:pStyle w:val="FirstParagraph"/>
      </w:pPr>
      <w:r>
        <w:t xml:space="preserve">This Lab Report underscores the critical role of a specialist Ophthalmologist in maintaining public eye health within Australia Brisbane. The combination of rigorous diagnostic protocols, advanced technological interventions, and environmental-specific preventive strategies ensures comprehensive care for patients. As the population ages and environmental challenges persist, continuous professional development for ophthalmologists remains essential.</w:t>
      </w:r>
    </w:p>
    <w:p>
      <w:pPr>
        <w:pStyle w:val="BodyText"/>
      </w:pPr>
      <w:r>
        <w:t xml:space="preserve">The findings confirm that adherence to strict clinical guidelines while adapting to local needs results in superior patient outcomes. Future research should focus on longitudinal studies regarding the long-term effects of UV exposure on retinal health in this specific geographic region.</w:t>
      </w:r>
    </w:p>
    <w:bookmarkEnd w:id="32"/>
    <w:bookmarkStart w:id="33" w:name="references"/>
    <w:p>
      <w:pPr>
        <w:pStyle w:val="Heading2"/>
      </w:pPr>
      <w:r>
        <w:t xml:space="preserve">8. References</w:t>
      </w:r>
    </w:p>
    <w:p>
      <w:pPr>
        <w:pStyle w:val="FirstParagraph"/>
      </w:pPr>
      <w:r>
        <w:t xml:space="preserve">Australian Ophthalmological Society Guidelines.</w:t>
      </w:r>
      <w:r>
        <w:br/>
      </w:r>
      <w:r>
        <w:t xml:space="preserve">National Health and Medical Research Council (NHMRC) Eye Health Recommendations.</w:t>
      </w:r>
      <w:r>
        <w:br/>
      </w:r>
      <w:r>
        <w:t xml:space="preserve">Queensland Health Public Hospital Service Standards for Ophthalmic Care.</w:t>
      </w:r>
    </w:p>
    <w:bookmarkEnd w:id="33"/>
    <w:p>
      <w:pPr>
        <w:pStyle w:val="BodyText"/>
      </w:pPr>
      <w:r>
        <w:rPr>
          <w:bCs/>
          <w:b/>
        </w:rPr>
        <w:t xml:space="preserve">End of Report</w:t>
      </w:r>
      <w:r>
        <w:br/>
      </w:r>
      <w:r>
        <w:t xml:space="preserve">Prepared for internal review and clinical audit purposes.</w:t>
      </w:r>
      <w:r>
        <w:br/>
      </w:r>
      <w:r>
        <w:t xml:space="preserve">Location Specificity: Australia Brisbane</w:t>
      </w:r>
      <w:r>
        <w:br/>
      </w:r>
      <w:r>
        <w:t xml:space="preserve">Specialty Focus: Ophthalmology Lab Report</w:t>
      </w:r>
    </w:p>
    <w:p>
      <w:pPr>
        <w:pStyle w:val="BodyText"/>
      </w:pPr>
      <w:r>
        <w:rPr>
          <w:bCs/>
          <w:b/>
        </w:rPr>
        <w:t xml:space="preserve">End of Report</w:t>
      </w:r>
      <w:r>
        <w:br/>
      </w:r>
      <w:r>
        <w:t xml:space="preserve">Prepared for internal review and clinical audit purposes.</w:t>
      </w:r>
      <w:r>
        <w:br/>
      </w:r>
      <w:r>
        <w:t xml:space="preserve">Location Specificity: Australia Brisbane</w:t>
      </w:r>
      <w:r>
        <w:br/>
      </w:r>
      <w:r>
        <w:t xml:space="preserve">Specialty Focus: Ophthalmology Lab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Ophthalmological Assessment: A Comprehensive Lab Report for Australia Brisbane</dc:title>
  <dc:creator/>
  <dc:language>en</dc:language>
  <cp:keywords/>
  <dcterms:created xsi:type="dcterms:W3CDTF">2026-07-29T07:00:06Z</dcterms:created>
  <dcterms:modified xsi:type="dcterms:W3CDTF">2026-07-29T07:00:06Z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