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Ophthalmic</w:t>
      </w:r>
      <w:r>
        <w:t xml:space="preserve"> </w:t>
      </w:r>
      <w:r>
        <w:t xml:space="preserve">Laboratory</w:t>
      </w:r>
      <w:r>
        <w:t xml:space="preserve"> </w:t>
      </w:r>
      <w:r>
        <w:t xml:space="preserve">Diagnostic</w:t>
      </w:r>
      <w:r>
        <w:t xml:space="preserve"> </w:t>
      </w:r>
      <w:r>
        <w:t xml:space="preserve">Report</w:t>
      </w:r>
      <w:r>
        <w:t xml:space="preserve"> </w:t>
      </w:r>
      <w:r>
        <w:t xml:space="preserve">-</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82c7157de1d878032012c6006f69b5bfe760596"/>
    <w:p>
      <w:pPr>
        <w:pStyle w:val="Heading1"/>
      </w:pPr>
      <w:r>
        <w:t xml:space="preserve">Ophthalmic Laboratory and Diagnostic Report</w:t>
      </w:r>
    </w:p>
    <w:p>
      <w:pPr>
        <w:pStyle w:val="FirstParagraph"/>
      </w:pPr>
      <w:r>
        <w:rPr>
          <w:bCs/>
          <w:b/>
        </w:rPr>
        <w:t xml:space="preserve">Institution:</w:t>
      </w:r>
      <w:r>
        <w:t xml:space="preserve"> </w:t>
      </w:r>
      <w:r>
        <w:t xml:space="preserve">Centro de Especialidades Oftálmicas do Rio de Janeiro (CEO-RJ)</w:t>
      </w:r>
    </w:p>
    <w:p>
      <w:pPr>
        <w:pStyle w:val="BodyText"/>
      </w:pPr>
      <w:r>
        <w:rPr>
          <w:bCs/>
          <w:b/>
        </w:rPr>
        <w:t xml:space="preserve">Location:</w:t>
      </w:r>
      <w:r>
        <w:t xml:space="preserve"> </w:t>
      </w:r>
      <w:r>
        <w:t xml:space="preserve">Copacabana District, Rio de Janeiro, Brazil</w:t>
      </w:r>
    </w:p>
    <w:p>
      <w:pPr>
        <w:pStyle w:val="BodyText"/>
      </w:pPr>
      <w:r>
        <w:rPr>
          <w:bCs/>
          <w:b/>
        </w:rPr>
        <w:t xml:space="preserve">Date of Issue:</w:t>
      </w:r>
      <w:r>
        <w:t xml:space="preserve"> </w:t>
      </w:r>
      <w:r>
        <w:t xml:space="preserve">May 24, 2024</w:t>
      </w:r>
    </w:p>
    <w:p>
      <w:pPr>
        <w:pStyle w:val="BodyText"/>
      </w:pPr>
      <w:r>
        <w:rPr>
          <w:bCs/>
          <w:b/>
        </w:rPr>
        <w:t xml:space="preserve">Patient ID:</w:t>
      </w:r>
    </w:p>
    <w:bookmarkEnd w:id="20"/>
    <w:bookmarkStart w:id="21" w:name="executive-summary-and-clinical-context"/>
    <w:p>
      <w:pPr>
        <w:pStyle w:val="Heading2"/>
      </w:pPr>
      <w:r>
        <w:t xml:space="preserve">1. Executive Summary and Clinical Context</w:t>
      </w:r>
    </w:p>
    <w:p>
      <w:pPr>
        <w:pStyle w:val="FirstParagraph"/>
      </w:pPr>
      <w:r>
        <w:t xml:space="preserve">This comprehensive laboratory and diagnostic report has been compiled by the specialized ophthalmologist team at our facility in Rio de Janeiro, Brazil. The purpose of this document is to provide a detailed analysis of the ocular health status of the patient, incorporating advanced diagnostic techniques standard for high-volume clinical centers in South America. Given the unique environmental factors present in Rio de Janeiro—such as high ultraviolet exposure due its coastal latitude and seasonal variations in humidity—the assessment focuses heavily on photoprotection, dry eye syndromes related to air conditioning and sea breeze, and early detection of degenerative conditions prevalent in the demographic profile of this region.</w:t>
      </w:r>
    </w:p>
    <w:p>
      <w:pPr>
        <w:pStyle w:val="BodyText"/>
      </w:pPr>
      <w:r>
        <w:t xml:space="preserve">The ophthalmologist responsible for this evaluation emphasizes that maintaining ocular health in Rio de Janeiro requires a proactive approach. The local climate, characterized by intense sunlight from September to March, necessitates rigorous screening for cataracts and macular degeneration. Furthermore, the urban density of Rio de Janeiro introduces variables related to air quality and allergen exposure, which have been factored into this laboratory analysis.</w:t>
      </w:r>
    </w:p>
    <w:bookmarkEnd w:id="21"/>
    <w:bookmarkStart w:id="22" w:name="patient-history-and-anamnesis"/>
    <w:p>
      <w:pPr>
        <w:pStyle w:val="Heading2"/>
      </w:pPr>
      <w:r>
        <w:t xml:space="preserve">2. Patient History and Anamnesis</w:t>
      </w:r>
    </w:p>
    <w:p>
      <w:pPr>
        <w:pStyle w:val="FirstParagraph"/>
      </w:pPr>
      <w:r>
        <w:t xml:space="preserve">The patient presented with complaints of intermittent blurring of vision, mild photophobia during midday hours, and a sensation of foreign body presence in both eyes. The history was taken in accordance with the protocols established by the Brazilian Society of Ophthalmology (SBO). Key historical factors include:</w:t>
      </w:r>
    </w:p>
    <w:p>
      <w:pPr>
        <w:numPr>
          <w:ilvl w:val="0"/>
          <w:numId w:val="1001"/>
        </w:numPr>
        <w:pStyle w:val="Compact"/>
      </w:pPr>
      <w:r>
        <w:rPr>
          <w:bCs/>
          <w:b/>
        </w:rPr>
        <w:t xml:space="preserve">Digital Exposure:</w:t>
      </w:r>
      <w:r>
        <w:t xml:space="preserve"> </w:t>
      </w:r>
      <w:r>
        <w:t xml:space="preserve">The patient works remotely for eight hours daily, increasing susceptibility to Digital Eye Strain (DES).</w:t>
      </w:r>
    </w:p>
    <w:p>
      <w:pPr>
        <w:numPr>
          <w:ilvl w:val="0"/>
          <w:numId w:val="1001"/>
        </w:numPr>
        <w:pStyle w:val="Compact"/>
      </w:pPr>
      <w:r>
        <w:t xml:space="preserve">Sun Exposure:: Significant outdoor activity during weekends in Rio de Janeiro's parks and beaches.</w:t>
      </w:r>
    </w:p>
    <w:p>
      <w:pPr>
        <w:numPr>
          <w:ilvl w:val="0"/>
          <w:numId w:val="1001"/>
        </w:numPr>
        <w:pStyle w:val="Compact"/>
      </w:pPr>
      <w:r>
        <w:rPr>
          <w:bCs/>
          <w:b/>
        </w:rPr>
        <w:t xml:space="preserve">Previous Treatments:</w:t>
      </w:r>
      <w:r>
        <w:t xml:space="preserve"> </w:t>
      </w:r>
      <w:r>
        <w:t xml:space="preserve">Use of preservative-free artificial tears with partial relief.</w:t>
      </w:r>
    </w:p>
    <w:p>
      <w:pPr>
        <w:pStyle w:val="FirstParagraph"/>
      </w:pPr>
      <w:r>
        <w:t xml:space="preserve">The ophthalmologist noted that the patient’s lifestyle is typical for many residents of Rio de Janeiro, balancing professional obligations with an active outdoor social life. This dual exposure to indoor screens and intense natural light creates a complex diagnostic picture that requires nuanced laboratory interpretation.</w:t>
      </w:r>
    </w:p>
    <w:bookmarkEnd w:id="22"/>
    <w:bookmarkStart w:id="23" w:name="diagnostic-laboratory-results"/>
    <w:p>
      <w:pPr>
        <w:pStyle w:val="Heading2"/>
      </w:pPr>
      <w:r>
        <w:t xml:space="preserve">3. Diagnostic Laboratory Results</w:t>
      </w:r>
    </w:p>
    <w:p>
      <w:pPr>
        <w:pStyle w:val="FirstParagraph"/>
      </w:pPr>
      <w:r>
        <w:t xml:space="preserve">The following results were obtained using state-of-the-art ophthalmic laboratory equipment located at our Rio de Janeiro facility. These tests are critical for forming a precise diagnosis and tailoring the therapeutic plan.</w:t>
      </w:r>
    </w:p>
    <w:p>
      <w:pPr>
        <w:pStyle w:val="BodyText"/>
      </w:pPr>
      <w:r>
        <w:t xml:space="preserve">Diagnostics Parameter</w:t>
      </w:r>
    </w:p>
    <w:bookmarkEnd w:id="23"/>
    <w:p>
      <w:pPr>
        <w:pStyle w:val="BodyText"/>
      </w:pPr>
      <w:r>
        <w:t xml:space="preserve">Oculus Dexter (OD)</w:t>
      </w:r>
    </w:p>
    <w:p>
      <w:pPr>
        <w:pStyle w:val="BodyText"/>
      </w:pPr>
      <w:r>
        <w:t xml:space="preserve">Oculus Sinister (OS)</w:t>
      </w:r>
    </w:p>
    <w:p>
      <w:pPr>
        <w:pStyle w:val="BodyText"/>
      </w:pPr>
      <w:r>
        <w:t xml:space="preserve">Clinical Significance in Rio Context43.5 D @ 180°</w:t>
      </w:r>
      <w:r>
        <w:br/>
      </w:r>
      <w:r>
        <w:t xml:space="preserve">44.2 D @ 90°</w:t>
      </w:r>
    </w:p>
    <w:p>
      <w:pPr>
        <w:pStyle w:val="BodyText"/>
      </w:pPr>
      <w:r>
        <w:t xml:space="preserve">43.8 D @ 175°</w:t>
      </w:r>
      <w:r>
        <w:br/>
      </w:r>
      <w:r>
        <w:t xml:space="preserve">43.9 D @ 85°</w:t>
      </w:r>
    </w:p>
    <w:p>
      <w:pPr>
        <w:pStyle w:val="BodyText"/>
      </w:pPr>
      <w:r>
        <w:t xml:space="preserve">Mild astigmatism detected; within normal range for corneal topography in this demographic.</w:t>
      </w:r>
    </w:p>
    <w:p>
      <w:pPr>
        <w:pStyle w:val="BodyText"/>
      </w:pPr>
      <w:r>
        <w:t xml:space="preserve">Intraocular Pressure (IOP)</w:t>
      </w:r>
    </w:p>
    <w:p>
      <w:pPr>
        <w:pStyle w:val="BodyText"/>
      </w:pPr>
      <w:r>
        <w:t xml:space="preserve">16 mmHg</w:t>
      </w:r>
    </w:p>
    <w:p>
      <w:pPr>
        <w:pStyle w:val="BodyText"/>
      </w:pPr>
      <w:r>
        <w:t xml:space="preserve">17 mmGlaucoma screening is crucial in Brazil due to genetic predispositions found in mixed-heritage populations common in Rio de Janeiro.</w:t>
      </w:r>
    </w:p>
    <w:p>
      <w:pPr>
        <w:pStyle w:val="BodyText"/>
      </w:pPr>
      <w:r>
        <w:t xml:space="preserve">C-shape, open angles (Shaffer Grade III)</w:t>
      </w:r>
    </w:p>
    <w:p>
      <w:pPr>
        <w:pStyle w:val="BodyText"/>
      </w:pPr>
      <w:r>
        <w:t xml:space="preserve">C-shape, open angles (Shaffer Grade II)</w:t>
      </w:r>
    </w:p>
    <w:p>
      <w:pPr>
        <w:pStyle w:val="BodyText"/>
      </w:pPr>
      <w:r>
        <w:t xml:space="preserve">Indicates low risk for angle-closure glaucoma, which can be exacerbated by pupillary dilation in dim lighting.</w:t>
      </w:r>
    </w:p>
    <w:p>
      <w:pPr>
        <w:pStyle w:val="BodyText"/>
      </w:pPr>
      <w:r>
        <w:t xml:space="preserve">Dry Eye Lab Test (TBUT)</w:t>
      </w:r>
    </w:p>
    <w:p>
      <w:pPr>
        <w:pStyle w:val="BodyText"/>
      </w:pPr>
      <w:r>
        <w:t xml:space="preserve">6.5 seconds</w:t>
      </w:r>
    </w:p>
    <w:p>
      <w:pPr>
        <w:pStyle w:val="BodyText"/>
      </w:pPr>
      <w:r>
        <w:t xml:space="preserve">7.0 seconds</w:t>
      </w:r>
    </w:p>
    <w:p>
      <w:pPr>
        <w:pStyle w:val="BodyText"/>
      </w:pPr>
      <w:r>
        <w:t xml:space="preserve">Mild evaporative dry eye, likely exacerbated by air conditioning and wind exposure typical of Rio's coastal breeze.</w:t>
      </w:r>
    </w:p>
    <w:p>
      <w:pPr>
        <w:pStyle w:val="BodyText"/>
      </w:pPr>
      <w:r>
        <w:t xml:space="preserve">The Tear Break-Up Time (TBUT) results are particularly significant for patients in Rio de Janeiro. The combination of humidity from the ocean and dry air from industrial or residential air conditioning units creates a fluctuating ocular surface environment. The ophthalmologist interprets these lab values as indicative of meibomian gland dysfunction, a condition that requires consistent management rather than just symptomatic relief.</w:t>
      </w:r>
    </w:p>
    <w:bookmarkStart w:id="24" w:name="retinal-and-macular-analysis"/>
    <w:p>
      <w:pPr>
        <w:pStyle w:val="Heading2"/>
      </w:pPr>
      <w:r>
        <w:t xml:space="preserve">4. Retinal and Macular Analysis</w:t>
      </w:r>
    </w:p>
    <w:p>
      <w:pPr>
        <w:pStyle w:val="FirstParagraph"/>
      </w:pPr>
      <w:r>
        <w:t xml:space="preserve">OCT (Optical Coherence Tomography) scans were performed to evaluate the retinal layers. The laboratory data reveals normal foveal contour with no signs of edema or drusen accumulation. However, there is a slight thinning of the retinal nerve fiber layer in the superior quadrant, which warrants monitoring but does not currently indicate glaucomatous damage. This finding is consistent with age-related changes observed in the local population.</w:t>
      </w:r>
    </w:p>
    <w:p>
      <w:pPr>
        <w:pStyle w:val="BodyText"/>
      </w:pPr>
      <w:r>
        <w:t xml:space="preserve">The fundus photography confirms healthy optic discs with a cup-to-disc ratio of 0.3 bilaterally. The vascular architecture appears normal, showing no signs of hypertensive or diabetic retinopathy, which are increasing concerns in Brazil due to rising rates of metabolic syndrome in urban centers like Rio de Janeiro.</w:t>
      </w:r>
    </w:p>
    <w:bookmarkEnd w:id="24"/>
    <w:bookmarkStart w:id="25" w:name="X2c68d6267becf25f5fbb528435501d96f1966e5"/>
    <w:p>
      <w:pPr>
        <w:pStyle w:val="Heading2"/>
      </w:pPr>
      <w:r>
        <w:t xml:space="preserve">5. Diagnostic Interpretation by the Ophthalmologist</w:t>
      </w:r>
    </w:p>
    <w:p>
      <w:pPr>
        <w:pStyle w:val="FirstParagraph"/>
      </w:pPr>
      <w:r>
        <w:t xml:space="preserve">Based on the laboratory results and clinical examination, the ophthalmologist concludes that the patient is suffering from Mild Chronic Dry Eye Disease (CDED) exacerbated by environmental factors specific to Rio de Janeiro. The photophobia noted in anamnesis is likely secondary to mild corneal epithelial irregularities caused by tear film instability.</w:t>
      </w:r>
    </w:p>
    <w:p>
      <w:pPr>
        <w:pStyle w:val="BodyText"/>
      </w:pPr>
      <w:r>
        <w:t xml:space="preserve">The ophthalmologist emphasizes that while the intraocular pressures are within normal limits, the patient’s family history of glaucoma (maternal side) requires annual monitoring. The laboratory data supports a conservative management plan, avoiding aggressive surgical intervention at this stage. The diagnosis is further complicated by the high UV index in Rio de Janeiro, which accelerates oxidative stress on the cornea and lens.</w:t>
      </w:r>
    </w:p>
    <w:bookmarkEnd w:id="25"/>
    <w:bookmarkStart w:id="26" w:name="therapeutic-recommendations"/>
    <w:p>
      <w:pPr>
        <w:pStyle w:val="Heading2"/>
      </w:pPr>
      <w:r>
        <w:t xml:space="preserve">6. Therapeutic Recommendations</w:t>
      </w:r>
    </w:p>
    <w:p>
      <w:pPr>
        <w:pStyle w:val="FirstParagraph"/>
      </w:pPr>
      <w:r>
        <w:t xml:space="preserve">To address the findings from this laboratory report, the following treatment plan is prescribed:</w:t>
      </w:r>
    </w:p>
    <w:p>
      <w:pPr>
        <w:pStyle w:val="BodyText"/>
      </w:pPr>
      <w:r>
        <w:t xml:space="preserve">Lubrication Therapy:</w:t>
      </w:r>
    </w:p>
    <w:p>
      <w:pPr>
        <w:pStyle w:val="BodyText"/>
      </w:pPr>
      <w:r>
        <w:rPr>
          <w:bCs/>
          <w:b/>
        </w:rPr>
        <w:t xml:space="preserve">Lid Hygiene:</w:t>
      </w:r>
      <w:r>
        <w:t xml:space="preserve"> </w:t>
      </w:r>
      <w:r>
        <w:t xml:space="preserve">Implement daily warm compresses and lid scrubs to manage meibomian gland dysfunction.</w:t>
      </w:r>
    </w:p>
    <w:p>
      <w:pPr>
        <w:pStyle w:val="BodyText"/>
      </w:pPr>
      <w:r>
        <w:t xml:space="preserve">Photoprotection: Mandatory use of UV-blocking sunglasses when outdoors in Rio de Janeiro. The ophthalmologist stresses that standard fashion sunglasses are insufficient; medical-grade lenses with 100% UVA/UVB protection are required to prevent cumulative damage.</w:t>
      </w:r>
    </w:p>
    <w:p>
      <w:pPr>
        <w:pStyle w:val="BodyText"/>
      </w:pPr>
      <w:r>
        <w:t xml:space="preserve">Digital Hygiene: Adherence to the 20-20-20 rule (every 20 minutes, look at something 20 feet away for 2 seconds) to reduce digital eye strain.</w:t>
      </w:r>
    </w:p>
    <w:p>
      <w:pPr>
        <w:pStyle w:val="BodyText"/>
      </w:pPr>
      <w:r>
        <w:t xml:space="preserve">7. Conclusion</w:t>
      </w:r>
    </w:p>
    <w:p>
      <w:pPr>
        <w:pStyle w:val="BodyText"/>
      </w:pPr>
      <w:r>
        <w:t xml:space="preserve">This laboratory report serves as a definitive record of the patient's ocular health status within the healthcare system of Rio de Janeiro, Brazil. The integration of precise laboratory data with environmental considerations allows for a personalized and effective ophthalmologic care plan. Regular follow-up appointments are scheduled for six months from this date to reassess tear film dynamics and intraocular pressures. The ophthalmologist reiterates the importance of patient compliance with photoprotection measures given the specific climatic conditions of Rio de Janeiro.</w:t>
      </w:r>
    </w:p>
    <w:bookmarkEnd w:id="26"/>
    <w:p>
      <w:pPr>
        <w:pStyle w:val="BodyText"/>
      </w:pPr>
      <w:r>
        <w:rPr>
          <w:bCs/>
          <w:b/>
        </w:rPr>
        <w:t xml:space="preserve">Authorized Signature:</w:t>
      </w:r>
    </w:p>
    <w:p>
      <w:pPr>
        <w:pStyle w:val="BodyText"/>
      </w:pPr>
      <w:r>
        <w:rPr>
          <w:iCs/>
          <w:i/>
        </w:rPr>
        <w:t xml:space="preserve">[Signature Placeholder]</w:t>
      </w:r>
      <w:r>
        <w:t xml:space="preserve">&lt;i&gt;Board Certified Ophthalmologist&lt;br/&gt; &amp;amp; Lab Director&gt;&lt;i&gt;&amp;amp;; Rio de Janeiro Medical Council (CRM-RJ) No. 987654321</w:t>
      </w:r>
    </w:p>
    <w:p>
      <w:pPr>
        <w:pStyle w:val="BodyText"/>
      </w:pPr>
      <w:r>
        <w:rPr>
          <w:bCs/>
          <w:b/>
        </w:rPr>
        <w:t xml:space="preserve">Disclaimer:</w:t>
      </w:r>
      <w:r>
        <w:t xml:space="preserve"> </w:t>
      </w:r>
      <w:r>
        <w:t xml:space="preserve">This document is a confidential medical record generated by the Ophthalmic Laboratory in Brazil, Rio de Janeiro. Unauthorized reproduction or distribution is strictly prohibited under Brazilian data protection laws (LGPD).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Ophthalmic Laboratory Diagnostic Report - Rio de Janeiro, Brazil</dc:title>
  <dc:creator/>
  <cp:keywords/>
  <dcterms:created xsi:type="dcterms:W3CDTF">2026-07-29T14:30:43Z</dcterms:created>
  <dcterms:modified xsi:type="dcterms:W3CDTF">2026-07-29T14:30:43Z</dcterms:modified>
</cp:coreProperties>
</file>

<file path=docProps/custom.xml><?xml version="1.0" encoding="utf-8"?>
<Properties xmlns="http://schemas.openxmlformats.org/officeDocument/2006/custom-properties" xmlns:vt="http://schemas.openxmlformats.org/officeDocument/2006/docPropsVTypes"/>
</file>