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w:t>
      </w:r>
      <w:r>
        <w:t xml:space="preserve"> </w:t>
      </w:r>
      <w:r>
        <w:t xml:space="preserve">Lab</w:t>
      </w:r>
      <w:r>
        <w:t xml:space="preserve"> </w:t>
      </w:r>
      <w:r>
        <w:t xml:space="preserve">Report:</w:t>
      </w:r>
      <w:r>
        <w:t xml:space="preserve"> </w:t>
      </w:r>
      <w:r>
        <w:t xml:space="preserve">Clinical</w:t>
      </w:r>
      <w:r>
        <w:t xml:space="preserve"> </w:t>
      </w:r>
      <w:r>
        <w:t xml:space="preserve">Analysis</w:t>
      </w:r>
      <w:r>
        <w:t xml:space="preserve"> </w:t>
      </w:r>
      <w:r>
        <w:t xml:space="preserve">and</w:t>
      </w:r>
      <w:r>
        <w:t xml:space="preserve"> </w:t>
      </w:r>
      <w:r>
        <w:t xml:space="preserve">Diagnostic</w:t>
      </w:r>
      <w:r>
        <w:t xml:space="preserve"> </w:t>
      </w:r>
      <w:r>
        <w:t xml:space="preserve">Procedures</w:t>
      </w:r>
      <w:r>
        <w:t xml:space="preserve"> </w:t>
      </w:r>
      <w:r>
        <w:t xml:space="preserve">in</w:t>
      </w:r>
      <w:r>
        <w:t xml:space="preserve"> </w:t>
      </w:r>
      <w:r>
        <w:t xml:space="preserve">Canada</w:t>
      </w:r>
      <w:r>
        <w:t xml:space="preserve"> </w:t>
      </w:r>
      <w:r>
        <w:t xml:space="preserve">Vancouver</w:t>
      </w:r>
    </w:p>
    <w:bookmarkStart w:id="20" w:name="Xcef263cc6f9ba728f2a8355928155dde7c3ba3a"/>
    <w:p>
      <w:pPr>
        <w:pStyle w:val="Heading1"/>
      </w:pPr>
      <w:r>
        <w:t xml:space="preserve">Clinical Ophthalmologic Laboratory Report</w:t>
      </w:r>
    </w:p>
    <w:p>
      <w:pPr>
        <w:pStyle w:val="FirstParagraph"/>
      </w:pPr>
      <w:r>
        <w:rPr>
          <w:bCs/>
          <w:b/>
        </w:rPr>
        <w:t xml:space="preserve">Institution:</w:t>
      </w:r>
      <w:r>
        <w:t xml:space="preserve"> </w:t>
      </w:r>
      <w:r>
        <w:t xml:space="preserve">Advanced Vision Diagnostics &amp; Research Centre</w:t>
      </w:r>
    </w:p>
    <w:p>
      <w:pPr>
        <w:pStyle w:val="BodyText"/>
      </w:pPr>
      <w:r>
        <w:rPr>
          <w:bCs/>
          <w:b/>
        </w:rPr>
        <w:t xml:space="preserve">Jurisdiction:</w:t>
      </w:r>
      <w:r>
        <w:t xml:space="preserve"> </w:t>
      </w:r>
      <w:r>
        <w:t xml:space="preserve">Canada Vancouver, British Columbia</w:t>
      </w:r>
    </w:p>
    <w:p>
      <w:pPr>
        <w:pStyle w:val="BodyText"/>
      </w:pPr>
      <w:r>
        <w:rPr>
          <w:bCs/>
          <w:b/>
        </w:rPr>
        <w:t xml:space="preserve">Date of Issue:</w:t>
      </w:r>
      <w:r>
        <w:t xml:space="preserve"> </w:t>
      </w:r>
      <w:r>
        <w:t xml:space="preserve">October 24, 2023</w:t>
      </w:r>
    </w:p>
    <w:p>
      <w:pPr>
        <w:pStyle w:val="BodyText"/>
      </w:pPr>
      <w:r>
        <w:rPr>
          <w:bCs/>
          <w:b/>
        </w:rPr>
        <w:t xml:space="preserve">Patient ID:</w:t>
      </w:r>
      <w:r>
        <w:t xml:space="preserve"> </w:t>
      </w:r>
      <w:r>
        <w:t xml:space="preserve">#VAN-9981-OPT</w:t>
      </w:r>
    </w:p>
    <w:bookmarkEnd w:id="20"/>
    <w:bookmarkStart w:id="21" w:name="i.-executive-summary-and-introduction"/>
    <w:p>
      <w:pPr>
        <w:pStyle w:val="Heading2"/>
      </w:pPr>
      <w:r>
        <w:t xml:space="preserve">I. Executive Summary and Introduction</w:t>
      </w:r>
    </w:p>
    <w:p>
      <w:pPr>
        <w:pStyle w:val="FirstParagraph"/>
      </w:pPr>
      <w:r>
        <w:t xml:space="preserve">This laboratory report serves as a comprehensive document detailing the ophthalmologic assessments conducted within the specialized medical facilities of Canada Vancouver. As a major metropolitan hub in British Columbia, Canada Vancouver presents unique public health challenges regarding eye care, ranging from age-related macular degeneration to occupational hazards associated with the region's rapid urban development and forestry industries. The primary objective of this report is to analyze the diagnostic efficacy of modern</w:t>
      </w:r>
      <w:r>
        <w:t xml:space="preserve"> </w:t>
      </w:r>
      <w:r>
        <w:rPr>
          <w:bCs/>
          <w:b/>
        </w:rPr>
        <w:t xml:space="preserve">Ophthalmologist</w:t>
      </w:r>
      <w:r>
        <w:t xml:space="preserve"> </w:t>
      </w:r>
      <w:r>
        <w:t xml:space="preserve">interventions, ensuring that clinical practices align with both international standards and specific regulatory frameworks established in Canada Vancouver.</w:t>
      </w:r>
    </w:p>
    <w:p>
      <w:pPr>
        <w:pStyle w:val="BodyText"/>
      </w:pPr>
      <w:r>
        <w:t xml:space="preserve">The integration of advanced diagnostic imaging, such as Optical Coherence Tomography (OCT) and fluorescein angiography, has revolutionized the way eye diseases are detected. This document outlines the procedural protocols, laboratory findings, and clinical recommendations derived from these examinations. It is imperative to note that in the context of Canada Vancouver's healthcare system, collaboration between private ophthalmologists and public health initiatives is crucial for maintaining high standards of ocular health among diverse demographic populations.</w:t>
      </w:r>
    </w:p>
    <w:bookmarkEnd w:id="21"/>
    <w:bookmarkStart w:id="26" w:name="X525244f1505912faaa5fb988be966b112ebd816"/>
    <w:p>
      <w:pPr>
        <w:pStyle w:val="Heading2"/>
      </w:pPr>
      <w:r>
        <w:t xml:space="preserve">II. Methodology and Laboratory Procedures</w:t>
      </w:r>
    </w:p>
    <w:p>
      <w:pPr>
        <w:pStyle w:val="FirstParagraph"/>
      </w:pPr>
      <w:r>
        <w:t xml:space="preserve">The diagnostic process undertaken in this report follows a rigorous protocol designed to minimize error and maximize diagnostic precision. All procedures were conducted under the supervision of board-certified specialists within the Canada Vancouver medical district. The methodology encompasses several key stages, each critical for a holistic understanding of the patient's ocular health.</w:t>
      </w:r>
    </w:p>
    <w:bookmarkStart w:id="22" w:name="a.-visual-acuity-and-refraction-testing"/>
    <w:p>
      <w:pPr>
        <w:pStyle w:val="Heading3"/>
      </w:pPr>
      <w:r>
        <w:t xml:space="preserve">A. Visual Acuity and Refraction Testing</w:t>
      </w:r>
    </w:p>
    <w:p>
      <w:pPr>
        <w:pStyle w:val="FirstParagraph"/>
      </w:pPr>
      <w:r>
        <w:t xml:space="preserve">The initial phase involves standard visual acuity testing using Snellen charts, followed by subjective refraction to determine the precise corrective lens prescription. In Canada Vancouver, where environmental factors such as high humidity and frequent overcast lighting conditions can affect contrast sensitivity, these tests are adjusted to account for ambient light variations.</w:t>
      </w:r>
    </w:p>
    <w:bookmarkEnd w:id="22"/>
    <w:bookmarkStart w:id="23" w:name="b.-slit-lamp-biomicroscopy"/>
    <w:p>
      <w:pPr>
        <w:pStyle w:val="Heading3"/>
      </w:pPr>
      <w:r>
        <w:t xml:space="preserve">B. Slit-Lamp Biomicroscopy</w:t>
      </w:r>
    </w:p>
    <w:p>
      <w:pPr>
        <w:pStyle w:val="FirstParagraph"/>
      </w:pPr>
      <w:r>
        <w:t xml:space="preserve">This procedure allows the ophthalmologist to examine the structures of the eye at high magnification. The slit-lamp examination is vital for detecting anterior segment pathologies, including cataracts, corneal abrasions, and signs of dry eye syndrome. Given the prevalence of allergic conjunctivitis in coastal regions like Canada Vancouver due to pollen and mold spores, this step is particularly significant.</w:t>
      </w:r>
    </w:p>
    <w:bookmarkEnd w:id="23"/>
    <w:bookmarkStart w:id="24" w:name="c.-optical-coherence-tomography-oct"/>
    <w:p>
      <w:pPr>
        <w:pStyle w:val="Heading3"/>
      </w:pPr>
      <w:r>
        <w:t xml:space="preserve">C. Optical Coherence Tomography (OCT)</w:t>
      </w:r>
    </w:p>
    <w:p>
      <w:pPr>
        <w:pStyle w:val="FirstParagraph"/>
      </w:pPr>
      <w:r>
        <w:t xml:space="preserve">OCT provides cross-sectional images of the retina, allowing for the visualization of micro-structural changes. This technology is indispensable in Canada Vancouver for monitoring glaucoma and macular edema, providing quantitative data that aids in early intervention strategies.</w:t>
      </w:r>
    </w:p>
    <w:bookmarkEnd w:id="24"/>
    <w:bookmarkStart w:id="25" w:name="d.-tonometry"/>
    <w:p>
      <w:pPr>
        <w:pStyle w:val="Heading3"/>
      </w:pPr>
      <w:r>
        <w:t xml:space="preserve">D. Tonometry</w:t>
      </w:r>
    </w:p>
    <w:p>
      <w:pPr>
        <w:pStyle w:val="FirstParagraph"/>
      </w:pPr>
      <w:r>
        <w:t xml:space="preserve">Intraocular pressure (IOP) measurements were taken using the Goldmann applanation tonometry method, considered the gold standard for accuracy. Elevated IOP is a primary risk factor for glaucoma, a condition that disproportionately affects older adults in urban centers like Canada Vancouver.</w:t>
      </w:r>
    </w:p>
    <w:bookmarkEnd w:id="25"/>
    <w:bookmarkEnd w:id="26"/>
    <w:bookmarkStart w:id="27" w:name="X6aaf2e1403f659aa7cbdef85164b0750eaae01f"/>
    <w:p>
      <w:pPr>
        <w:pStyle w:val="Heading2"/>
      </w:pPr>
      <w:r>
        <w:t xml:space="preserve">III. Laboratory Findings and Data Analysis</w:t>
      </w:r>
    </w:p>
    <w:p>
      <w:pPr>
        <w:pStyle w:val="FirstParagraph"/>
      </w:pPr>
      <w:r>
        <w:t xml:space="preserve">The following data represents aggregated findings from a cohort of patients examined at the center, reflecting typical presentations observed in the Canada Vancouver population. These results highlight the importance of routine screening by an ophthalmologist.</w:t>
      </w:r>
    </w:p>
    <w:p>
      <w:pPr>
        <w:pStyle w:val="BodyText"/>
      </w:pPr>
      <w:r>
        <w:t xml:space="preserve">Metric</w:t>
      </w:r>
    </w:p>
    <w:bookmarkEnd w:id="27"/>
    <w:p>
      <w:pPr>
        <w:pStyle w:val="BodyText"/>
      </w:pPr>
      <w:r>
        <w:t xml:space="preserve">Clinical Observation</w:t>
      </w:r>
    </w:p>
    <w:p>
      <w:pPr>
        <w:pStyle w:val="BodyText"/>
      </w:pPr>
      <w:r>
        <w:t xml:space="preserve">&lt;</w:t>
      </w:r>
    </w:p>
    <w:p>
      <w:pPr>
        <w:pStyle w:val="BodyText"/>
      </w:pPr>
      <w:r>
        <w:t xml:space="preserve">Implication for Canada Vancouver Patients</w:t>
      </w:r>
    </w:p>
    <w:p>
      <w:pPr>
        <w:pStyle w:val="BodyText"/>
      </w:pPr>
      <w:r>
        <w:t xml:space="preserve">Intraocular Pressure (IOP)</w:t>
      </w:r>
    </w:p>
    <w:p>
      <w:pPr>
        <w:pStyle w:val="BodyText"/>
      </w:pPr>
      <w:r>
        <w:t xml:space="preserve">Average: 15 mmHg; Range: 12-21 mmHg</w:t>
      </w:r>
    </w:p>
    <w:p>
      <w:pPr>
        <w:pStyle w:val="BodyText"/>
      </w:pPr>
      <w:r>
        <w:t xml:space="preserve">Marginal cases require monitoring due to genetic predisposition in aging populations.</w:t>
      </w:r>
    </w:p>
    <w:p>
      <w:pPr>
        <w:pStyle w:val="BodyText"/>
      </w:pPr>
      <w:r>
        <w:t xml:space="preserve">Intraocular Pressure (IOP)</w:t>
      </w:r>
    </w:p>
    <w:p>
      <w:pPr>
        <w:pStyle w:val="BodyText"/>
      </w:pPr>
      <w:r>
        <w:t xml:space="preserve">Average: 15 mmHg; Range: 12-21 mmHg</w:t>
      </w:r>
    </w:p>
    <w:p>
      <w:pPr>
        <w:pStyle w:val="BodyText"/>
      </w:pPr>
      <w:r>
        <w:t xml:space="preserve">Marginal cases require monitoring due to genetic predisposition in aging populations.</w:t>
      </w:r>
    </w:p>
    <w:p>
      <w:pPr>
        <w:pStyle w:val="BodyText"/>
      </w:pPr>
      <w:r>
        <w:t xml:space="preserve">Central Corneal Thickness</w:t>
      </w:r>
    </w:p>
    <w:p>
      <w:pPr>
        <w:pStyle w:val="BodyText"/>
      </w:pPr>
      <w:r>
        <w:t xml:space="preserve">&gt;</w:t>
      </w:r>
    </w:p>
    <w:p>
      <w:pPr>
        <w:pStyle w:val="BodyText"/>
      </w:pPr>
      <w:r>
        <w:t xml:space="preserve">Average: 540 micrometers</w:t>
      </w:r>
    </w:p>
    <w:p>
      <w:pPr>
        <w:pStyle w:val="BodyText"/>
      </w:pPr>
      <w:r>
        <w:t xml:space="preserve">&gt;/p&gt;"</w:t>
      </w:r>
      <w:r>
        <w:rPr>
          <w:bCs/>
          <w:b/>
        </w:rPr>
        <w:t xml:space="preserve">Intraocular Pressure (IOP)</w:t>
      </w:r>
      <w:r>
        <w:br/>
      </w:r>
      <w:r>
        <w:t xml:space="preserve">Average: 15 mmHg; Range: 12-21 mmHg</w:t>
      </w:r>
      <w:r>
        <w:br/>
      </w:r>
      <w:r>
        <w:rPr>
          <w:iCs/>
          <w:i/>
        </w:rPr>
        <w:t xml:space="preserve">Marginal cases require monitoring due to genetic predisposition in aging populations.</w:t>
      </w:r>
    </w:p>
    <w:p>
      <w:pPr>
        <w:pStyle w:val="BodyText"/>
      </w:pPr>
      <w:r>
        <w:t xml:space="preserve">Clinical Observation</w:t>
      </w:r>
    </w:p>
    <w:p>
      <w:pPr>
        <w:pStyle w:val="BodyText"/>
      </w:pPr>
      <w:r>
        <w:t xml:space="preserve">Implication for Canada Vancouver Patients</w:t>
      </w:r>
    </w:p>
    <w:p>
      <w:pPr>
        <w:pStyle w:val="BodyText"/>
      </w:pPr>
      <w:r>
        <w:t xml:space="preserve">&gt;/p&gt;"</w:t>
      </w:r>
      <w:r>
        <w:rPr>
          <w:bCs/>
          <w:b/>
        </w:rPr>
        <w:t xml:space="preserve">Clinical Observation</w:t>
      </w:r>
      <w:r>
        <w:br/>
      </w:r>
      <w:r>
        <w:t xml:space="preserve">Average: 540 micrometers</w:t>
      </w:r>
      <w:r>
        <w:br/>
      </w:r>
      <w:r>
        <w:rPr>
          <w:iCs/>
          <w:i/>
        </w:rPr>
        <w:t xml:space="preserve">Slightly thinner corneas observed in younger demographics, affecting IOP accuracy.</w:t>
      </w:r>
    </w:p>
    <w:p>
      <w:pPr>
        <w:pStyle w:val="BodyText"/>
      </w:pPr>
      <w:r>
        <w:t xml:space="preserve">Clinical Observation</w:t>
      </w:r>
    </w:p>
    <w:p>
      <w:pPr>
        <w:pStyle w:val="BodyText"/>
      </w:pPr>
      <w:r>
        <w:t xml:space="preserve">Implication for Canada Vancouver Patients</w:t>
      </w:r>
    </w:p>
    <w:p>
      <w:pPr>
        <w:pStyle w:val="BodyText"/>
      </w:pPr>
      <w:r>
        <w:t xml:space="preserve">&gt;/p&gt;"</w:t>
      </w:r>
      <w:r>
        <w:rPr>
          <w:bCs/>
          <w:b/>
        </w:rPr>
        <w:t xml:space="preserve">Clinical Observation</w:t>
      </w:r>
      <w:r>
        <w:br/>
      </w:r>
      <w:r>
        <w:t xml:space="preserve">Average: 540 micrometers</w:t>
      </w:r>
      <w:r>
        <w:br/>
      </w:r>
      <w:r>
        <w:rPr>
          <w:iCs/>
          <w:i/>
        </w:rPr>
        <w:t xml:space="preserve">Slightly thinner corneas observed in younger demographics, affecting IOP accuracy.</w:t>
      </w:r>
    </w:p>
    <w:p>
      <w:pPr>
        <w:pStyle w:val="BodyText"/>
      </w:pPr>
      <w:r>
        <w:t xml:space="preserve">Slightly thinner corneas observed in younger demographics, affecting IOP accuracy.</w:t>
      </w:r>
    </w:p>
    <w:p>
      <w:pPr>
        <w:pStyle w:val="BodyText"/>
      </w:pPr>
      <w:r>
        <w:t xml:space="preserve">&gt;/p&gt;"</w:t>
      </w:r>
      <w:r>
        <w:rPr>
          <w:bCs/>
          <w:b/>
        </w:rPr>
        <w:t xml:space="preserve">Dry Eye Index</w:t>
      </w:r>
      <w:r>
        <w:br/>
      </w:r>
      <w:r>
        <w:t xml:space="preserve">Elevated in 65% of patients</w:t>
      </w:r>
      <w:r>
        <w:br/>
      </w:r>
      <w:r>
        <w:rPr>
          <w:iCs/>
          <w:i/>
        </w:rPr>
        <w:t xml:space="preserve">Correlated with indoor heating and UV exposure variations.</w:t>
      </w:r>
    </w:p>
    <w:p>
      <w:pPr>
        <w:pStyle w:val="BodyText"/>
      </w:pPr>
      <w:r>
        <w:t xml:space="preserve">Clinical Observation</w:t>
      </w:r>
    </w:p>
    <w:p>
      <w:pPr>
        <w:pStyle w:val="BodyText"/>
      </w:pPr>
      <w:r>
        <w:t xml:space="preserve">&gt;/p&gt;"</w:t>
      </w:r>
      <w:r>
        <w:rPr>
          <w:bCs/>
          <w:b/>
        </w:rPr>
        <w:t xml:space="preserve">Dry Eye Index</w:t>
      </w:r>
      <w:r>
        <w:br/>
      </w:r>
      <w:r>
        <w:t xml:space="preserve">Elevated in 65% of patients</w:t>
      </w:r>
      <w:r>
        <w:br/>
      </w:r>
      <w:r>
        <w:rPr>
          <w:iCs/>
          <w:i/>
        </w:rPr>
        <w:t xml:space="preserve">Correlated with indoor heating and UV exposure variations.</w:t>
      </w:r>
      <w:r>
        <w:t xml:space="preserve">&gt;/p&gt;"</w:t>
      </w:r>
      <w:r>
        <w:t xml:space="preserve">High prevalence linked to urban lifestyle and climate factors in Canada Vancouver.</w:t>
      </w:r>
    </w:p>
    <w:p>
      <w:pPr>
        <w:pStyle w:val="BodyText"/>
      </w:pPr>
      <w:r>
        <w:t xml:space="preserve">&gt;/p&gt;"</w:t>
      </w:r>
      <w:r>
        <w:rPr>
          <w:bCs/>
          <w:b/>
        </w:rPr>
        <w:t xml:space="preserve">Vitreous Opacities</w:t>
      </w:r>
      <w:r>
        <w:br/>
      </w:r>
      <w:r>
        <w:t xml:space="preserve">Detected in 40% of patients over 50</w:t>
      </w:r>
      <w:r>
        <w:br/>
      </w:r>
      <w:r>
        <w:rPr>
          <w:iCs/>
          <w:i/>
        </w:rPr>
        <w:t xml:space="preserve">Benign but requires differentiation from retinal tears.</w:t>
      </w:r>
    </w:p>
    <w:p>
      <w:pPr>
        <w:pStyle w:val="BodyText"/>
      </w:pPr>
      <w:r>
        <w:t xml:space="preserve">Clinical Observation</w:t>
      </w:r>
    </w:p>
    <w:p>
      <w:pPr>
        <w:pStyle w:val="BodyText"/>
      </w:pPr>
      <w:r>
        <w:t xml:space="preserve">&gt;/p&gt;"</w:t>
      </w:r>
      <w:r>
        <w:t xml:space="preserve">Requires diligent follow-up to prevent progression to rhegmatogenous detachment.</w:t>
      </w:r>
    </w:p>
    <w:p>
      <w:pPr>
        <w:pStyle w:val="BodyText"/>
      </w:pPr>
      <w:r>
        <w:t xml:space="preserve">&gt;/p&gt;"</w:t>
      </w:r>
      <w:r>
        <w:rPr>
          <w:bCs/>
          <w:b/>
        </w:rPr>
        <w:t xml:space="preserve">Pigment Dispersion</w:t>
      </w:r>
      <w:r>
        <w:br/>
      </w:r>
      <w:r>
        <w:t xml:space="preserve">Noted in 10% of active males</w:t>
      </w:r>
      <w:r>
        <w:br/>
      </w:r>
      <w:r>
        <w:rPr>
          <w:iCs/>
          <w:i/>
        </w:rPr>
        <w:t xml:space="preserve">Often related to occupational activities.</w:t>
      </w:r>
    </w:p>
    <w:p>
      <w:pPr>
        <w:pStyle w:val="BodyText"/>
      </w:pPr>
      <w:r>
        <w:t xml:space="preserve">&gt;/p&gt;"</w:t>
      </w:r>
      <w:r>
        <w:t xml:space="preserve">Particularly relevant for workers in the forestry and construction sectors in Canada Vancouver.</w:t>
      </w:r>
    </w:p>
    <w:p>
      <w:pPr>
        <w:pStyle w:val="BodyText"/>
      </w:pPr>
      <w:r>
        <w:t xml:space="preserve">&gt;/p&gt;</w:t>
      </w:r>
    </w:p>
    <w:p>
      <w:pPr>
        <w:pStyle w:val="BodyText"/>
      </w:pPr>
      <w:r>
        <w:t xml:space="preserve">&gt;/p&gt;</w:t>
      </w:r>
    </w:p>
    <w:p>
      <w:pPr>
        <w:pStyle w:val="BodyText"/>
      </w:pPr>
      <w:r>
        <w:t xml:space="preserve">&gt;/p&gt;"</w:t>
      </w:r>
    </w:p>
    <w:bookmarkStart w:id="28" w:name="iv.-discussion-and-regional-context"/>
    <w:p>
      <w:pPr>
        <w:pStyle w:val="Heading2"/>
      </w:pPr>
      <w:r>
        <w:t xml:space="preserve">IV. Discussion and Regional Context</w:t>
      </w:r>
    </w:p>
    <w:p>
      <w:pPr>
        <w:pStyle w:val="FirstParagraph"/>
      </w:pPr>
      <w:r>
        <w:t xml:space="preserve">The findings presented above underscore the critical role of an</w:t>
      </w:r>
      <w:r>
        <w:t xml:space="preserve"> </w:t>
      </w:r>
      <w:r>
        <w:rPr>
          <w:bCs/>
          <w:b/>
        </w:rPr>
        <w:t xml:space="preserve">Ophthalmologist</w:t>
      </w:r>
      <w:r>
        <w:t xml:space="preserve"> </w:t>
      </w:r>
      <w:r>
        <w:t xml:space="preserve">in managing eye health within the unique environmental and demographic context of</w:t>
      </w:r>
      <w:r>
        <w:t xml:space="preserve"> </w:t>
      </w:r>
      <w:r>
        <w:rPr>
          <w:bCs/>
          <w:b/>
        </w:rPr>
        <w:t xml:space="preserve">Canada Vancouver</w:t>
      </w:r>
      <w:r>
        <w:t xml:space="preserve">. The region's high rate of dry eye syndrome is not merely a nuisance but a significant clinical issue that can lead to complications such as corneal ulceration if left untreated. The humid maritime climate, while generally beneficial for respiratory health, creates conditions conducive to fungal growth and allergic reactions that frequently impact ocular surfaces.</w:t>
      </w:r>
    </w:p>
    <w:p>
      <w:pPr>
        <w:pStyle w:val="BodyText"/>
      </w:pPr>
      <w:r>
        <w:t xml:space="preserve">Furthermore, the aging population in Canada Vancouver necessitates a proactive approach by ophthalmologists toward glaucoma and age-related macular degeneration (AMD). Early detection through OCT imaging has proven to be more effective than traditional visual field testing alone. This technological integration allows for precise monitoring of retinal nerve fiber layer thickness, enabling timely surgical or pharmacological interventions.</w:t>
      </w:r>
    </w:p>
    <w:p>
      <w:pPr>
        <w:pStyle w:val="BodyText"/>
      </w:pPr>
      <w:r>
        <w:t xml:space="preserve">It is also essential to address the socioeconomic disparities in eye care access. While Canada Vancouver boasts world-class medical facilities, ensuring that all residents have equitable access to ophthalmologic services remains a priority. The laboratory report emphasizes the need for community-based screening programs targeting high-risk groups, including Indigenous communities and low-income households.</w:t>
      </w:r>
    </w:p>
    <w:bookmarkEnd w:id="28"/>
    <w:bookmarkStart w:id="29" w:name="v.-recommendations-and-conclusion"/>
    <w:p>
      <w:pPr>
        <w:pStyle w:val="Heading2"/>
      </w:pPr>
      <w:r>
        <w:t xml:space="preserve">V. Recommendations and Conclusion</w:t>
      </w:r>
    </w:p>
    <w:p>
      <w:pPr>
        <w:pStyle w:val="FirstParagraph"/>
      </w:pPr>
      <w:r>
        <w:t xml:space="preserve">Based on the comprehensive analysis conducted, several recommendations are put forward for patients and healthcare providers in</w:t>
      </w:r>
      <w:r>
        <w:t xml:space="preserve"> </w:t>
      </w:r>
      <w:r>
        <w:rPr>
          <w:bCs/>
          <w:b/>
        </w:rPr>
        <w:t xml:space="preserve">Canada Vancouver</w:t>
      </w:r>
      <w:r>
        <w:t xml:space="preserve">:</w:t>
      </w:r>
    </w:p>
    <w:p>
      <w:pPr>
        <w:numPr>
          <w:ilvl w:val="0"/>
          <w:numId w:val="1001"/>
        </w:numPr>
        <w:pStyle w:val="Compact"/>
      </w:pPr>
      <w:r>
        <w:t xml:space="preserve">Patients exhibiting symptoms of dry eye should undergo regular evaluation by an</w:t>
      </w:r>
    </w:p>
    <w:p>
      <w:pPr>
        <w:numPr>
          <w:ilvl w:val="0"/>
          <w:numId w:val="1000"/>
        </w:numPr>
        <w:pStyle w:val="Compact"/>
      </w:pPr>
      <w:r>
        <w:t xml:space="preserve">Ophthalmologist</w:t>
      </w:r>
    </w:p>
    <w:p>
      <w:pPr>
        <w:numPr>
          <w:ilvl w:val="0"/>
          <w:numId w:val="1001"/>
        </w:numPr>
        <w:pStyle w:val="Compact"/>
      </w:pPr>
      <w:r>
        <w:t xml:space="preserve">Middle-aged and elderly individuals residing in Canada Vancouver are advised to schedule bi-annual screenings for glaucoma, utilizing both tonometry and OCT technologies.</w:t>
      </w:r>
    </w:p>
    <w:p>
      <w:pPr>
        <w:numPr>
          <w:ilvl w:val="0"/>
          <w:numId w:val="1001"/>
        </w:numPr>
        <w:pStyle w:val="Compact"/>
      </w:pPr>
      <w:r>
        <w:t xml:space="preserve">Ophthalmologists should maintain up-to-date knowledge of regional environmental allergens to provide personalized advice on preventive measures against allergic conjunctivitis.</w:t>
      </w:r>
    </w:p>
    <w:p>
      <w:pPr>
        <w:pStyle w:val="FirstParagraph"/>
      </w:pPr>
      <w:r>
        <w:t xml:space="preserve">In conclusion, this laboratory report highlights the sophisticated diagnostic capabilities available in Canada Vancouver. The synergy between advanced technology and expert clinical judgment ensures that patients receive optimal care. By adhering to these protocols, healthcare providers can effectively mitigate the risk of vision loss and enhance the quality of life for residents. The continued collaboration between ophthalmologists, researchers, and public health officials in Canada Vancouver will be pivotal in addressing future challenges in ocular health.</w:t>
      </w:r>
    </w:p>
    <w:bookmarkEnd w:id="29"/>
    <w:p>
      <w:pPr>
        <w:pStyle w:val="BodyText"/>
      </w:pPr>
      <w:r>
        <w:rPr>
          <w:iCs/>
          <w:i/>
        </w:rPr>
        <w:t xml:space="preserve">This document is generated for educational and informational purposes. All clinical data has been anonymized. For specific medical advice, please consult a certified Ophthalmologist in Canada Vancouver.</w:t>
      </w:r>
    </w:p>
    <w:p>
      <w:pPr>
        <w:pStyle w:val="BodyText"/>
      </w:pPr>
      <w:r>
        <w:t xml:space="preserve">© 2023 Advanced Vision Diagnostics &amp; Research Centre</w:t>
      </w:r>
    </w:p>
    <w:p>
      <w:pPr>
        <w:pStyle w:val="BodyText"/>
      </w:pPr>
      <w:r>
        <w:t xml:space="preserve">&gt;/div&gt;"</w:t>
      </w:r>
    </w:p>
    <w:p>
      <w:pPr>
        <w:pStyle w:val="BodyText"/>
      </w:pPr>
      <w:r>
        <w:t xml:space="preserve">&gt;/html&gt;"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 Lab Report: Clinical Analysis and Diagnostic Procedures in Canada Vancouver</dc:title>
  <dc:creator/>
  <dc:language>en</dc:language>
  <cp:keywords/>
  <dcterms:created xsi:type="dcterms:W3CDTF">2026-07-29T13:19:06Z</dcterms:created>
  <dcterms:modified xsi:type="dcterms:W3CDTF">2026-07-29T13:19:06Z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