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Ophthalmological</w:t>
      </w:r>
      <w:r>
        <w:t xml:space="preserve"> </w:t>
      </w:r>
      <w:r>
        <w:t xml:space="preserve">Services</w:t>
      </w:r>
      <w:r>
        <w:t xml:space="preserve"> </w:t>
      </w:r>
      <w:r>
        <w:t xml:space="preserve">and</w:t>
      </w:r>
      <w:r>
        <w:t xml:space="preserve"> </w:t>
      </w:r>
      <w:r>
        <w:t xml:space="preserve">Standards</w:t>
      </w:r>
      <w:r>
        <w:t xml:space="preserve"> </w:t>
      </w:r>
      <w:r>
        <w:t xml:space="preserve">in</w:t>
      </w:r>
      <w:r>
        <w:t xml:space="preserve"> </w:t>
      </w:r>
      <w:r>
        <w:t xml:space="preserve">Colombia</w:t>
      </w:r>
      <w:r>
        <w:t xml:space="preserve"> </w:t>
      </w:r>
      <w:r>
        <w:t xml:space="preserve">Bogotá</w:t>
      </w:r>
    </w:p>
    <w:bookmarkStart w:id="29" w:name="Xd56153576929259bd33bbd35cb7fc7e9f9f3c03"/>
    <w:p>
      <w:pPr>
        <w:pStyle w:val="Heading1"/>
      </w:pPr>
      <w:r>
        <w:t xml:space="preserve">Laboratory and Clinical Report on Ophthalmological Standards and Practices in Colombia Bogotá</w:t>
      </w:r>
    </w:p>
    <w:p>
      <w:pPr>
        <w:pStyle w:val="FirstParagraph"/>
      </w:pPr>
      <w:r>
        <w:t xml:space="preserve">Report Identification</w:t>
      </w:r>
    </w:p>
    <w:p>
      <w:pPr>
        <w:pStyle w:val="BodyText"/>
      </w:pPr>
      <w:r>
        <w:rPr>
          <w:bCs/>
          <w:b/>
        </w:rPr>
        <w:t xml:space="preserve">Date:</w:t>
      </w:r>
      <w:r>
        <w:t xml:space="preserve"> </w:t>
      </w:r>
      <w:r>
        <w:t xml:space="preserve">October 26, 2023</w:t>
      </w:r>
    </w:p>
    <w:p>
      <w:pPr>
        <w:pStyle w:val="BodyText"/>
      </w:pPr>
      <w:r>
        <w:rPr>
          <w:bCs/>
          <w:b/>
        </w:rPr>
        <w:t xml:space="preserve">Subject:</w:t>
      </w:r>
      <w:r>
        <w:t xml:space="preserve">Ophthalmologist Service Evaluation and Diagnostic Protocols within the Healthcare Infrastructure of Colombia Bogotá</w:t>
      </w:r>
    </w:p>
    <w:p>
      <w:pPr>
        <w:pStyle w:val="BodyText"/>
      </w:pPr>
      <w:r>
        <w:rPr>
          <w:bCs/>
          <w:b/>
        </w:rPr>
        <w:t xml:space="preserve">Jurisdiction:</w:t>
      </w:r>
      <w:r>
        <w:t xml:space="preserve">Bogotá, Capital District, Colombia</w:t>
      </w:r>
    </w:p>
    <w:bookmarkStart w:id="20" w:name="executive-summary-and-introduction"/>
    <w:p>
      <w:pPr>
        <w:pStyle w:val="Heading2"/>
      </w:pPr>
      <w:r>
        <w:t xml:space="preserve">1. Executive Summary and Introduction</w:t>
      </w:r>
    </w:p>
    <w:p>
      <w:pPr>
        <w:pStyle w:val="FirstParagraph"/>
      </w:pPr>
      <w:r>
        <w:t xml:space="preserve">This comprehensive Lab Report serves as a detailed analysis of the current state of ophthalmological services, diagnostic precision, and clinical outcomes specifically tailored to the context of</w:t>
      </w:r>
      <w:r>
        <w:t xml:space="preserve"> </w:t>
      </w:r>
      <w:r>
        <w:rPr>
          <w:bCs/>
          <w:b/>
        </w:rPr>
        <w:t xml:space="preserve">Colombia Bogotá</w:t>
      </w:r>
      <w:r>
        <w:t xml:space="preserve">. As the capital city and the primary medical hub of Colombia, Bogotá hosts a dense concentration of healthcare providers ranging from high-tech private clinics to public health institutions. The purpose of this document is to evaluate how an</w:t>
      </w:r>
      <w:r>
        <w:t xml:space="preserve"> </w:t>
      </w:r>
      <w:r>
        <w:rPr>
          <w:bCs/>
          <w:b/>
        </w:rPr>
        <w:t xml:space="preserve">Ophthalmologist</w:t>
      </w:r>
      <w:r>
        <w:t xml:space="preserve"> </w:t>
      </w:r>
      <w:r>
        <w:t xml:space="preserve">operates within this complex ecosystem, ensuring that patients receive care that meets both international standards and local epidemiological realities.</w:t>
      </w:r>
    </w:p>
    <w:p>
      <w:pPr>
        <w:pStyle w:val="BodyText"/>
      </w:pPr>
      <w:r>
        <w:t xml:space="preserve">The report addresses the critical intersection of advanced diagnostic technology, regulatory compliance with the Colombian Ministry of Health, and the specific health challenges faced by the population in</w:t>
      </w:r>
      <w:r>
        <w:t xml:space="preserve"> </w:t>
      </w:r>
      <w:r>
        <w:rPr>
          <w:bCs/>
          <w:b/>
        </w:rPr>
        <w:t xml:space="preserve">Colombia Bogotá</w:t>
      </w:r>
      <w:r>
        <w:t xml:space="preserve">. It is imperative to understand that an</w:t>
      </w:r>
      <w:r>
        <w:t xml:space="preserve"> </w:t>
      </w:r>
      <w:r>
        <w:rPr>
          <w:bCs/>
          <w:b/>
        </w:rPr>
        <w:t xml:space="preserve">Ophthalmologist</w:t>
      </w:r>
      <w:r>
        <w:t xml:space="preserve"> </w:t>
      </w:r>
      <w:r>
        <w:t xml:space="preserve">in this region must not only be skilled in clinical surgery but also proficient in navigating a healthcare system that integrates private insurance (EPS) with public funding mechanisms.</w:t>
      </w:r>
    </w:p>
    <w:bookmarkEnd w:id="20"/>
    <w:bookmarkStart w:id="21" w:name="Xfb558bdf56d68d28e7b59c0dff4cc9a3929ef77"/>
    <w:p>
      <w:pPr>
        <w:pStyle w:val="Heading2"/>
      </w:pPr>
      <w:r>
        <w:t xml:space="preserve">2. Epidemiological Context of Vision Health in Colombia Bogotá</w:t>
      </w:r>
    </w:p>
    <w:p>
      <w:pPr>
        <w:pStyle w:val="FirstParagraph"/>
      </w:pPr>
      <w:r>
        <w:t xml:space="preserve">To provide an accurate assessment of ophthalmic care, one must first understand the disease profile prevalent in the region. In</w:t>
      </w:r>
      <w:r>
        <w:t xml:space="preserve"> </w:t>
      </w:r>
      <w:r>
        <w:rPr>
          <w:bCs/>
          <w:b/>
        </w:rPr>
        <w:t xml:space="preserve">Colombia Bogotá</w:t>
      </w:r>
      <w:r>
        <w:t xml:space="preserve">, the demographic shift towards an aging population has led to a surge in age-related ocular diseases. The data indicates that cataracts and glaucoma remain the leading causes of preventable blindness, necessitating a robust network of skilled</w:t>
      </w:r>
      <w:r>
        <w:t xml:space="preserve"> </w:t>
      </w:r>
      <w:r>
        <w:rPr>
          <w:bCs/>
          <w:b/>
        </w:rPr>
        <w:t xml:space="preserve">Ophthalmologist</w:t>
      </w:r>
      <w:r>
        <w:t xml:space="preserve"> </w:t>
      </w:r>
      <w:r>
        <w:t xml:space="preserve">practitioners.</w:t>
      </w:r>
    </w:p>
    <w:p>
      <w:pPr>
        <w:pStyle w:val="BodyText"/>
      </w:pPr>
      <w:r>
        <w:t xml:space="preserve">Furthermore, lifestyle changes associated with urban living in major metropolitan areas like Bogotá have contributed to rising cases of diabetic retinopathy. The high altitude and specific environmental factors in the capital also present unique challenges for patients with dry eye syndrome and allergic conjunctivitis. Therefore, an</w:t>
      </w:r>
      <w:r>
        <w:t xml:space="preserve"> </w:t>
      </w:r>
      <w:r>
        <w:rPr>
          <w:bCs/>
          <w:b/>
        </w:rPr>
        <w:t xml:space="preserve">Ophthalmologist</w:t>
      </w:r>
      <w:r>
        <w:t xml:space="preserve"> </w:t>
      </w:r>
      <w:r>
        <w:t xml:space="preserve">practicing in this area must be equipped with diagnostic tools capable of detecting these conditions early, often before they progress to irreversible stages.</w:t>
      </w:r>
    </w:p>
    <w:bookmarkEnd w:id="21"/>
    <w:bookmarkStart w:id="23" w:name="Xe52cd0869836287078d76905d90bc26608525d5"/>
    <w:p>
      <w:pPr>
        <w:pStyle w:val="Heading2"/>
      </w:pPr>
      <w:r>
        <w:t xml:space="preserve">3. Diagnostic Capabilities and Laboratory Infrastructure</w:t>
      </w:r>
    </w:p>
    <w:p>
      <w:pPr>
        <w:pStyle w:val="FirstParagraph"/>
      </w:pPr>
      <w:r>
        <w:t xml:space="preserve">A modern Lab Report on vision health must emphasize the technological infrastructure available to an</w:t>
      </w:r>
      <w:r>
        <w:t xml:space="preserve"> </w:t>
      </w:r>
      <w:r>
        <w:rPr>
          <w:bCs/>
          <w:b/>
        </w:rPr>
        <w:t xml:space="preserve">Ophthalmologist</w:t>
      </w:r>
      <w:r>
        <w:t xml:space="preserve">. In Bogotá, leading ophthalmic centers have integrated Optical Coherence Tomography (OCT), automated perimetry, and ultra-widefield fundus photography into their standard protocols. These tools are essential for the accurate diagnosis of macular degeneration and glaucomatous damage.</w:t>
      </w:r>
    </w:p>
    <w:p>
      <w:pPr>
        <w:pStyle w:val="BodyText"/>
      </w:pPr>
      <w:r>
        <w:t xml:space="preserve">The laboratory component of this report highlights the importance of standardized testing procedures. For instance, Pachymetry is routinely used to measure corneal thickness, a critical parameter before performing refractive surgeries such as LASIK or PRK. The availability of these technologies in Bogotá distinguishes the city as a medical tourism hub within Latin America. However, disparities exist between private and public facilities.</w:t>
      </w:r>
    </w:p>
    <w:bookmarkStart w:id="22" w:name="standard-diagnostic-protocols"/>
    <w:p>
      <w:pPr>
        <w:pStyle w:val="Heading3"/>
      </w:pPr>
      <w:r>
        <w:t xml:space="preserve">3.1 Standard Diagnostic Protocols</w:t>
      </w:r>
    </w:p>
    <w:p>
      <w:pPr>
        <w:numPr>
          <w:ilvl w:val="0"/>
          <w:numId w:val="1001"/>
        </w:numPr>
        <w:pStyle w:val="Compact"/>
      </w:pPr>
      <w:r>
        <w:rPr>
          <w:bCs/>
          <w:b/>
        </w:rPr>
        <w:t xml:space="preserve">Intraocular Pressure Measurement:</w:t>
      </w:r>
      <w:r>
        <w:t xml:space="preserve">Tonometry is performed on every patient presenting with visual disturbances to rule out acute glaucoma, a common concern in the local population.</w:t>
      </w:r>
    </w:p>
    <w:p>
      <w:pPr>
        <w:numPr>
          <w:ilvl w:val="0"/>
          <w:numId w:val="1001"/>
        </w:numPr>
        <w:pStyle w:val="Compact"/>
      </w:pPr>
      <w:r>
        <w:rPr>
          <w:bCs/>
          <w:b/>
        </w:rPr>
        <w:t xml:space="preserve">Vision Acuity Testing:</w:t>
      </w:r>
      <w:r>
        <w:t xml:space="preserve">Standardized Snellen chart examinations are conducted, often followed by autorefractometry to determine prescription accuracy.</w:t>
      </w:r>
    </w:p>
    <w:p>
      <w:pPr>
        <w:numPr>
          <w:ilvl w:val="0"/>
          <w:numId w:val="1001"/>
        </w:numPr>
        <w:pStyle w:val="Compact"/>
      </w:pPr>
      <w:r>
        <w:rPr>
          <w:bCs/>
          <w:b/>
        </w:rPr>
        <w:t xml:space="preserve">Dilated Fundus Examination:</w:t>
      </w:r>
      <w:r>
        <w:t xml:space="preserve">This remains the gold standard for assessing retinal health, particularly for diabetic patients in Bogotá who require regular monitoring.</w:t>
      </w:r>
    </w:p>
    <w:bookmarkEnd w:id="22"/>
    <w:bookmarkEnd w:id="23"/>
    <w:bookmarkStart w:id="25" w:name="X5f3361470c03fffe3a3fc344318c2b2830e7cc0"/>
    <w:p>
      <w:pPr>
        <w:pStyle w:val="Heading2"/>
      </w:pPr>
      <w:r>
        <w:t xml:space="preserve">4. The Role and Specialization of the Ophthalmologist</w:t>
      </w:r>
    </w:p>
    <w:p>
      <w:pPr>
        <w:pStyle w:val="FirstParagraph"/>
      </w:pPr>
      <w:r>
        <w:t xml:space="preserve">The title of "Ophthalmologist" implies a medical doctor specialized in eye care, capable of prescribing medication, performing surgery, and managing systemic diseases that affect vision. In the context of</w:t>
      </w:r>
      <w:r>
        <w:t xml:space="preserve"> </w:t>
      </w:r>
      <w:r>
        <w:rPr>
          <w:bCs/>
          <w:b/>
        </w:rPr>
        <w:t xml:space="preserve">Colombia Bogotá</w:t>
      </w:r>
      <w:r>
        <w:t xml:space="preserve">, the role has evolved to include subspecialties such as neuro-ophthalmology and pediatric ophthalmology.</w:t>
      </w:r>
    </w:p>
    <w:p>
      <w:pPr>
        <w:pStyle w:val="BodyText"/>
      </w:pPr>
      <w:r>
        <w:t xml:space="preserve">An</w:t>
      </w:r>
      <w:r>
        <w:t xml:space="preserve"> </w:t>
      </w:r>
      <w:r>
        <w:rPr>
          <w:bCs/>
          <w:b/>
        </w:rPr>
        <w:t xml:space="preserve">Ophthalmologist</w:t>
      </w:r>
      <w:r>
        <w:t xml:space="preserve"> </w:t>
      </w:r>
      <w:r>
        <w:t xml:space="preserve">in this region is often required to act as a first-line responder for ocular trauma, which, while less common than chronic diseases, presents significant risks due to urban accidents. The report notes that the training for an</w:t>
      </w:r>
      <w:r>
        <w:t xml:space="preserve"> </w:t>
      </w:r>
      <w:r>
        <w:rPr>
          <w:bCs/>
          <w:b/>
        </w:rPr>
        <w:t xml:space="preserve">Ophthalmologist</w:t>
      </w:r>
      <w:r>
        <w:t xml:space="preserve"> </w:t>
      </w:r>
      <w:r>
        <w:t xml:space="preserve">in Colombia involves rigorous residency programs accredited by the Ministry of National Education. This ensures that every licensed practitioner possesses the fundamental skills required for complex intraocular surgeries.</w:t>
      </w:r>
    </w:p>
    <w:bookmarkStart w:id="24" w:name="surgical-precision-and-outcomes"/>
    <w:p>
      <w:pPr>
        <w:pStyle w:val="Heading3"/>
      </w:pPr>
      <w:r>
        <w:t xml:space="preserve">4.1 Surgical Precision and Outcomes</w:t>
      </w:r>
    </w:p>
    <w:p>
      <w:pPr>
        <w:pStyle w:val="FirstParagraph"/>
      </w:pPr>
      <w:r>
        <w:t xml:space="preserve">The success rate of cataract surgery, performed by an experienced Ophthalmologist, in Bogotá has reached international benchmarks. Micro-incision phacoemulsification is the standard technique utilized in most major clinics. The Lab Report data suggests that complications such as endophthalmitis are rare due to strict sterile protocols enforced by hospital administration and individual practitioner adherence.</w:t>
      </w:r>
    </w:p>
    <w:bookmarkEnd w:id="24"/>
    <w:bookmarkEnd w:id="25"/>
    <w:bookmarkStart w:id="26" w:name="Xfb695a8daa9c4126301ea80aaef61ca35c81af5"/>
    <w:p>
      <w:pPr>
        <w:pStyle w:val="Heading2"/>
      </w:pPr>
      <w:r>
        <w:t xml:space="preserve">5. Regulatory Framework and Insurance Integration</w:t>
      </w:r>
    </w:p>
    <w:p>
      <w:pPr>
        <w:pStyle w:val="FirstParagraph"/>
      </w:pPr>
      <w:r>
        <w:t xml:space="preserve">A critical aspect of conducting this Lab Report is the analysis of how an Ophthalmologist navigates the Colombian health insurance system (Sistema General de Salud). Patients in Bogotá are affiliated with either contributory or subsidized regimes. An Ophthalmologist must be adept at coding diagnoses correctly to ensure that procedures such as LASIK, which is often considered elective and not covered by basic plans, are properly billed when deemed medically necessary.</w:t>
      </w:r>
    </w:p>
    <w:p>
      <w:pPr>
        <w:pStyle w:val="BodyText"/>
      </w:pPr>
      <w:r>
        <w:t xml:space="preserve">The "Guías de Práctica Clínica" (Clinical Practice Guidelines) issued by the Instituto Colombiano de Bienestar Familiar and the Ministry of Health serve as the mandatory framework for an Ophthalmologist. These guidelines dictate when a referral to a sub-specialist is required and define the criteria for approving expensive treatments, such as anti-VEGF injections for wet macular degeneration. Compliance with these regulations is non-negotiable for any practicing medical professional in</w:t>
      </w:r>
      <w:r>
        <w:t xml:space="preserve"> </w:t>
      </w:r>
      <w:r>
        <w:rPr>
          <w:bCs/>
          <w:b/>
        </w:rPr>
        <w:t xml:space="preserve">Colombia Bogotá</w:t>
      </w:r>
      <w:r>
        <w:t xml:space="preserve">.</w:t>
      </w:r>
    </w:p>
    <w:bookmarkEnd w:id="26"/>
    <w:bookmarkStart w:id="27" w:name="challenges-and-future-directions"/>
    <w:p>
      <w:pPr>
        <w:pStyle w:val="Heading2"/>
      </w:pPr>
      <w:r>
        <w:t xml:space="preserve">6. Challenges and Future Directions</w:t>
      </w:r>
    </w:p>
    <w:p>
      <w:pPr>
        <w:pStyle w:val="FirstParagraph"/>
      </w:pPr>
      <w:r>
        <w:t xml:space="preserve">Despite the high level of care available, challenges remain. Geographic disparities within the city itself mean that residents in the outermost localities may have less access to specialized ophthalmic laboratories compared to those in the northern or central districts. Furthermore, the cost of advanced diagnostic equipment poses a barrier for smaller private practices.</w:t>
      </w:r>
    </w:p>
    <w:p>
      <w:pPr>
        <w:pStyle w:val="BodyText"/>
      </w:pPr>
      <w:r>
        <w:t xml:space="preserve">The future of ophthalmology in this region points toward tele-ophthalmology and AI-assisted diagnostics. An</w:t>
      </w:r>
      <w:r>
        <w:t xml:space="preserve"> </w:t>
      </w:r>
      <w:r>
        <w:rPr>
          <w:bCs/>
          <w:b/>
        </w:rPr>
        <w:t xml:space="preserve">Ophthalmologist</w:t>
      </w:r>
      <w:r>
        <w:t xml:space="preserve"> </w:t>
      </w:r>
      <w:r>
        <w:t xml:space="preserve">of tomorrow will likely rely on artificial intelligence algorithms to screen diabetic retinopathy from retinal scans, allowing for faster triage and treatment initiation. This technological integration is expected to bridge the gap between the high-quality care found in premium clinics and the needs of the broader population in</w:t>
      </w:r>
      <w:r>
        <w:t xml:space="preserve"> </w:t>
      </w:r>
      <w:r>
        <w:rPr>
          <w:bCs/>
          <w:b/>
        </w:rPr>
        <w:t xml:space="preserve">Colombia Bogotá</w:t>
      </w:r>
      <w:r>
        <w:t xml:space="preserve">.</w:t>
      </w:r>
    </w:p>
    <w:bookmarkEnd w:id="27"/>
    <w:bookmarkStart w:id="28" w:name="conclusion"/>
    <w:p>
      <w:pPr>
        <w:pStyle w:val="Heading2"/>
      </w:pPr>
      <w:r>
        <w:t xml:space="preserve">7. Conclusion</w:t>
      </w:r>
    </w:p>
    <w:p>
      <w:pPr>
        <w:pStyle w:val="FirstParagraph"/>
      </w:pPr>
      <w:r>
        <w:t xml:space="preserve">In conclusion, this Lab Report affirms that ophthalmological services in Colombia are robust, technically advanced, and increasingly accessible. The Ophthalmologist plays a pivotal role not just as a surgeon, but as a diagnostician and public health advocate within the community of Bogotá. The integration of high-tech laboratories with standardized clinical protocols ensures that patients receive evidence-based care.</w:t>
      </w:r>
    </w:p>
    <w:p>
      <w:pPr>
        <w:pStyle w:val="BodyText"/>
      </w:pPr>
      <w:r>
        <w:t xml:space="preserve">For stakeholders in the healthcare sector, understanding the specific nuances of practice in Colombia is essential. Whether addressing cataracts, glaucoma, or refractive errors, the expertise deployed by an Ophthalmologist in this region reflects a commitment to global excellence while respecting local health dynamics. Continued investment in infrastructure and training will further solidify Bogotá's position as a leader in ophthalmic care within South America.</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Ophthalmological Services and Standards in Colombia Bogotá</dc:title>
  <dc:creator/>
  <dc:language>en</dc:language>
  <cp:keywords/>
  <dcterms:created xsi:type="dcterms:W3CDTF">2026-07-29T21:28:46Z</dcterms:created>
  <dcterms:modified xsi:type="dcterms:W3CDTF">2026-07-29T21:28:46Z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