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Diagnostic</w:t>
      </w:r>
      <w:r>
        <w:t xml:space="preserve"> </w:t>
      </w:r>
      <w:r>
        <w:t xml:space="preserve">Lab</w:t>
      </w:r>
      <w:r>
        <w:t xml:space="preserve"> </w:t>
      </w:r>
      <w:r>
        <w:t xml:space="preserve">Report:</w:t>
      </w:r>
      <w:r>
        <w:t xml:space="preserve"> </w:t>
      </w:r>
      <w:r>
        <w:t xml:space="preserve">Paris,</w:t>
      </w:r>
      <w:r>
        <w:t xml:space="preserve"> </w:t>
      </w:r>
      <w:r>
        <w:t xml:space="preserve">France</w:t>
      </w:r>
    </w:p>
    <w:bookmarkStart w:id="20" w:name="clinical-diagnostic-lab-report"/>
    <w:p>
      <w:pPr>
        <w:pStyle w:val="Heading1"/>
      </w:pPr>
      <w:r>
        <w:t xml:space="preserve">Clinical Diagnostic Lab Report</w:t>
      </w:r>
    </w:p>
    <w:p>
      <w:pPr>
        <w:pStyle w:val="FirstParagraph"/>
      </w:pPr>
      <w:r>
        <w:rPr>
          <w:bCs/>
          <w:b/>
        </w:rPr>
        <w:t xml:space="preserve">Institution:</w:t>
      </w:r>
      <w:r>
        <w:t xml:space="preserve"> </w:t>
      </w:r>
      <w:r>
        <w:t xml:space="preserve">Institut de la Vue, Centre Hospitalier Régional Universitaire (CHU) – Paris</w:t>
      </w:r>
      <w:r>
        <w:br/>
      </w:r>
      <w:r>
        <w:rPr>
          <w:bCs/>
          <w:b/>
        </w:rPr>
        <w:t xml:space="preserve">Jurisdiction:</w:t>
      </w:r>
      <w:r>
        <w:t xml:space="preserve"> </w:t>
      </w:r>
      <w:r>
        <w:t xml:space="preserve">République Française, Île-de-France Region</w:t>
      </w:r>
      <w:r>
        <w:br/>
      </w:r>
      <w:r>
        <w:rPr>
          <w:bCs/>
          <w:b/>
        </w:rPr>
        <w:t xml:space="preserve">Date of Examination:</w:t>
      </w:r>
      <w:r>
        <w:t xml:space="preserve"> </w:t>
      </w:r>
      <w:r>
        <w:t xml:space="preserve">October 14, 2023</w:t>
      </w:r>
      <w:r>
        <w:br/>
      </w:r>
      <w:r>
        <w:rPr>
          <w:bCs/>
          <w:b/>
        </w:rPr>
        <w:t xml:space="preserve">Report ID:</w:t>
      </w:r>
      <w:r>
        <w:t xml:space="preserve"> </w:t>
      </w:r>
      <w:r>
        <w:t xml:space="preserve">OPH-PAR-2023-8945</w:t>
      </w:r>
    </w:p>
    <w:bookmarkEnd w:id="20"/>
    <w:bookmarkStart w:id="21" w:name="Xc19244ae7c5fc3fd92058259b5ad6c921586e3b"/>
    <w:p>
      <w:pPr>
        <w:pStyle w:val="Heading2"/>
      </w:pPr>
      <w:r>
        <w:t xml:space="preserve">Patient Identification and Administrative Data</w:t>
      </w:r>
    </w:p>
    <w:p>
      <w:pPr>
        <w:pStyle w:val="FirstParagraph"/>
      </w:pPr>
      <w:r>
        <w:t xml:space="preserve">The following report details the findings from a comprehensive ophthalmological examination conducted within the specialized medical infrastructure of Paris, France. This document serves as an official record for both clinical management and administrative processing under French healthcare regulations (Sécurité Sociale).</w:t>
      </w:r>
    </w:p>
    <w:p>
      <w:pPr>
        <w:pStyle w:val="BodyText"/>
      </w:pPr>
      <w:r>
        <w:t xml:space="preserve">Patient Name:</w:t>
      </w:r>
    </w:p>
    <w:bookmarkEnd w:id="21"/>
    <w:p>
      <w:pPr>
        <w:pStyle w:val="BodyText"/>
      </w:pPr>
      <w:r>
        <w:t xml:space="preserve">Jean-Luc Dubois</w:t>
      </w:r>
    </w:p>
    <w:p>
      <w:pPr>
        <w:pStyle w:val="BodyText"/>
      </w:pPr>
      <w:r>
        <w:t xml:space="preserve">**&lt;**th&gt;</w:t>
      </w:r>
    </w:p>
    <w:p>
      <w:pPr>
        <w:pStyle w:val="BodyText"/>
      </w:pPr>
      <w:r>
        <w:t xml:space="preserve">Date of Birth:</w:t>
      </w:r>
    </w:p>
    <w:p>
      <w:pPr>
        <w:pStyle w:val="BodyText"/>
      </w:pPr>
      <w:r>
        <w:t xml:space="preserve">**</w:t>
      </w:r>
      <w:r>
        <w:t xml:space="preserve"> </w:t>
      </w:r>
      <w:r>
        <w:t xml:space="preserve">**&lt;**tddate_of_birth" class="data"&gt;1978-05-12</w:t>
      </w:r>
    </w:p>
    <w:p>
      <w:pPr>
        <w:pStyle w:val="BodyText"/>
      </w:pPr>
      <w:r>
        <w:t xml:space="preserve">**</w:t>
      </w:r>
    </w:p>
    <w:p>
      <w:pPr>
        <w:pStyle w:val="BodyText"/>
      </w:pPr>
      <w:r>
        <w:t xml:space="preserve">**</w:t>
      </w:r>
      <w:r>
        <w:t xml:space="preserve"> </w:t>
      </w:r>
      <w:r>
        <w:t xml:space="preserve">**&lt;**td&gt;</w:t>
      </w:r>
    </w:p>
    <w:p>
      <w:pPr>
        <w:pStyle w:val="BodyText"/>
      </w:pPr>
      <w:r>
        <w:t xml:space="preserve">Sex:</w:t>
      </w:r>
    </w:p>
    <w:p>
      <w:pPr>
        <w:pStyle w:val="BodyText"/>
      </w:pPr>
      <w:r>
        <w:t xml:space="preserve">**</w:t>
      </w:r>
    </w:p>
    <w:p>
      <w:pPr>
        <w:pStyle w:val="BodyText"/>
      </w:pPr>
      <w:r>
        <w:t xml:space="preserve">Male</w:t>
      </w:r>
    </w:p>
    <w:p>
      <w:pPr>
        <w:pStyle w:val="BodyText"/>
      </w:pPr>
      <w:r>
        <w:t xml:space="preserve">**</w:t>
      </w:r>
      <w:r>
        <w:t xml:space="preserve"> </w:t>
      </w:r>
      <w:r>
        <w:t xml:space="preserve">**&lt;**tddate_of_birth" class="data"&gt;Sécurité Sociale Number: 1 78 05 75 XXX XXX XX</w:t>
      </w:r>
    </w:p>
    <w:p>
      <w:pPr>
        <w:pStyle w:val="BodyText"/>
      </w:pPr>
      <w:r>
        <w:t xml:space="preserve">**</w:t>
      </w:r>
      <w:r>
        <w:t xml:space="preserve"> </w:t>
      </w:r>
      <w:r>
        <w:t xml:space="preserve">**&lt;**tddate_of_birth" class="data"&gt;Attending Physician:**</w:t>
      </w:r>
    </w:p>
    <w:p>
      <w:pPr>
        <w:pStyle w:val="BodyText"/>
      </w:pPr>
      <w:r>
        <w:t xml:space="preserve">Dr. Sophie Laurent, MD, PhD</w:t>
      </w:r>
      <w:r>
        <w:br/>
      </w:r>
      <w:r>
        <w:rPr>
          <w:iCs/>
          <w:i/>
        </w:rPr>
        <w:t xml:space="preserve">Chief Ophthalmologist at Institut de la Vue</w:t>
      </w:r>
    </w:p>
    <w:p>
      <w:pPr>
        <w:pStyle w:val="BodyText"/>
      </w:pPr>
      <w:r>
        <w:t xml:space="preserve">**</w:t>
      </w:r>
      <w:r>
        <w:t xml:space="preserve"> </w:t>
      </w:r>
      <w:r>
        <w:t xml:space="preserve">**&lt;**tddate_of_birth" class="data"&gt;Facility Location:**</w:t>
      </w:r>
    </w:p>
    <w:p>
      <w:pPr>
        <w:pStyle w:val="BodyText"/>
      </w:pPr>
      <w:r>
        <w:t xml:space="preserve">Pierre et Marie Curie Hospital Campus, Paris 6th Arrondissement</w:t>
      </w:r>
    </w:p>
    <w:p>
      <w:pPr>
        <w:pStyle w:val="BodyText"/>
      </w:pPr>
      <w:r>
        <w:t xml:space="preserve">**</w:t>
      </w:r>
      <w:r>
        <w:t xml:space="preserve"> </w:t>
      </w:r>
      <w:r>
        <w:t xml:space="preserve">**&lt;**h2&gt;Clinical Reasoning and Chief Complaints</w:t>
      </w:r>
    </w:p>
    <w:p>
      <w:pPr>
        <w:pStyle w:val="BodyText"/>
      </w:pPr>
      <w:r>
        <w:t xml:space="preserve">**</w:t>
      </w:r>
      <w:r>
        <w:t xml:space="preserve"> </w:t>
      </w:r>
      <w:r>
        <w:t xml:space="preserve">**&lt;**p&gt;The patient presented to the ophthalmology department in central Paris complaining of progressive blurring of distant vision and occasional halos around lights at night. Given the demographic profile and location, standard differential diagnoses were considered, including refractive errors (myopia), early-stage cataracts, or dry eye syndrome exacerbated by urban air quality. The patient reported no history of systemic diabetes or hypertension, which are critical factors when assessing retinal health in French clinical protocols.</w:t>
      </w:r>
    </w:p>
    <w:p>
      <w:pPr>
        <w:pStyle w:val="BodyText"/>
      </w:pPr>
      <w:r>
        <w:t xml:space="preserve">**</w:t>
      </w:r>
      <w:r>
        <w:t xml:space="preserve"> </w:t>
      </w:r>
      <w:r>
        <w:t xml:space="preserve">**&lt;**p&gt;Furthermore, as Paris is a major hub for international medical tourism and local care alike, precise documentation was required to differentiate between simple refractive needs and pathological conditions requiring surgical intervention. The goal of this lab report was to establish a baseline for visual acuity, intraocular pressure (IOP), and retinal topography.</w:t>
      </w:r>
    </w:p>
    <w:p>
      <w:pPr>
        <w:pStyle w:val="BodyText"/>
      </w:pPr>
      <w:r>
        <w:t xml:space="preserve">**</w:t>
      </w:r>
    </w:p>
    <w:p>
      <w:pPr>
        <w:pStyle w:val="BodyText"/>
      </w:pPr>
      <w:r>
        <w:t xml:space="preserve">**</w:t>
      </w:r>
      <w:r>
        <w:t xml:space="preserve"> </w:t>
      </w:r>
      <w:r>
        <w:t xml:space="preserve">**&lt;**h2&gt;Diagnostic Methodology and Instruments</w:t>
      </w:r>
    </w:p>
    <w:p>
      <w:pPr>
        <w:pStyle w:val="BodyText"/>
      </w:pPr>
      <w:r>
        <w:t xml:space="preserve">**</w:t>
      </w:r>
      <w:r>
        <w:t xml:space="preserve"> </w:t>
      </w:r>
      <w:r>
        <w:t xml:space="preserve">**&lt;**p&gt;The examination utilized state-of-the-art equipment typical of high-standard French academic medical centers. The following methodologies were employed:</w:t>
      </w:r>
    </w:p>
    <w:p>
      <w:pPr>
        <w:pStyle w:val="BodyText"/>
      </w:pPr>
      <w:r>
        <w:t xml:space="preserve">**</w:t>
      </w:r>
      <w:r>
        <w:t xml:space="preserve"> </w:t>
      </w:r>
      <w:r>
        <w:t xml:space="preserve">**&lt;**ul&gt;**</w:t>
      </w:r>
      <w:r>
        <w:t xml:space="preserve"> </w:t>
      </w:r>
      <w:r>
        <w:t xml:space="preserve">**</w:t>
      </w:r>
    </w:p>
    <w:p>
      <w:pPr>
        <w:pStyle w:val="BodyText"/>
      </w:pPr>
      <w:r>
        <w:rPr>
          <w:bCs/>
          <w:b/>
        </w:rPr>
        <w:t xml:space="preserve">Visual Acuity Testing (Snellen Chart):</w:t>
      </w:r>
      <w:r>
        <w:t xml:space="preserve"> </w:t>
      </w:r>
      <w:r>
        <w:t xml:space="preserve">Standardized testing performed at a distance of 6 meters, adhering to ISO 8596 standards commonly used in Europe.</w:t>
      </w:r>
    </w:p>
    <w:p>
      <w:pPr>
        <w:pStyle w:val="BodyText"/>
      </w:pPr>
      <w:r>
        <w:t xml:space="preserve">**</w:t>
      </w:r>
      <w:r>
        <w:t xml:space="preserve"> </w:t>
      </w:r>
      <w:r>
        <w:t xml:space="preserve">**</w:t>
      </w:r>
    </w:p>
    <w:p>
      <w:pPr>
        <w:pStyle w:val="BodyText"/>
      </w:pPr>
      <w:r>
        <w:rPr>
          <w:bCs/>
          <w:b/>
        </w:rPr>
        <w:t xml:space="preserve">Slit-Lamp Biomicroscopy:</w:t>
      </w:r>
      <w:r>
        <w:t xml:space="preserve"> </w:t>
      </w:r>
      <w:r>
        <w:t xml:space="preserve">High-magnification examination of the anterior segment, including the cornea, iris, and lens. This is crucial for detecting early keratoconus or epithelial defects common in urban populations exposed to pollution.</w:t>
      </w:r>
    </w:p>
    <w:p>
      <w:pPr>
        <w:pStyle w:val="BodyText"/>
      </w:pPr>
      <w:r>
        <w:t xml:space="preserve">**</w:t>
      </w:r>
      <w:r>
        <w:t xml:space="preserve"> </w:t>
      </w:r>
      <w:r>
        <w:t xml:space="preserve">**</w:t>
      </w:r>
    </w:p>
    <w:p>
      <w:pPr>
        <w:pStyle w:val="BodyText"/>
      </w:pPr>
      <w:r>
        <w:rPr>
          <w:bCs/>
          <w:b/>
        </w:rPr>
        <w:t xml:space="preserve">Gonioscopy:</w:t>
      </w:r>
      <w:r>
        <w:t xml:space="preserve"> </w:t>
      </w:r>
      <w:r>
        <w:t xml:space="preserve">Evaluation of the anterior chamber angle to rule out glaucoma suspects. In France, glaucoma screening is a priority due to aging demographics.</w:t>
      </w:r>
    </w:p>
    <w:p>
      <w:pPr>
        <w:pStyle w:val="BodyText"/>
      </w:pPr>
      <w:r>
        <w:t xml:space="preserve">**</w:t>
      </w:r>
      <w:r>
        <w:t xml:space="preserve"> </w:t>
      </w:r>
      <w:r>
        <w:t xml:space="preserve">**</w:t>
      </w:r>
    </w:p>
    <w:p>
      <w:pPr>
        <w:pStyle w:val="BodyText"/>
      </w:pPr>
      <w:r>
        <w:rPr>
          <w:bCs/>
          <w:b/>
        </w:rPr>
        <w:t xml:space="preserve">Non-Contact Tonometry (NCT):</w:t>
      </w:r>
      <w:r>
        <w:t xml:space="preserve"> </w:t>
      </w:r>
      <w:r>
        <w:t xml:space="preserve">Measurement of intraocular pressure to screen for ocular hypertension and primary open-angle glaucoma.</w:t>
      </w:r>
    </w:p>
    <w:p>
      <w:pPr>
        <w:pStyle w:val="BodyText"/>
      </w:pPr>
      <w:r>
        <w:t xml:space="preserve">**</w:t>
      </w:r>
      <w:r>
        <w:t xml:space="preserve"> </w:t>
      </w:r>
      <w:r>
        <w:t xml:space="preserve">**</w:t>
      </w:r>
    </w:p>
    <w:p>
      <w:pPr>
        <w:pStyle w:val="BodyText"/>
      </w:pPr>
      <w:r>
        <w:rPr>
          <w:bCs/>
          <w:b/>
        </w:rPr>
        <w:t xml:space="preserve">OCT (Optical Coherence Tomography):</w:t>
      </w:r>
      <w:r>
        <w:t xml:space="preserve"> </w:t>
      </w:r>
      <w:r>
        <w:t xml:space="preserve">Non-invasive imaging of the retina and optic nerve head, providing cross-sectional images essential for diagnosing macular degeneration or diabetic retinopathy.</w:t>
      </w:r>
    </w:p>
    <w:p>
      <w:pPr>
        <w:pStyle w:val="BodyText"/>
      </w:pPr>
      <w:r>
        <w:t xml:space="preserve">**</w:t>
      </w:r>
    </w:p>
    <w:p>
      <w:pPr>
        <w:pStyle w:val="BodyText"/>
      </w:pPr>
      <w:r>
        <w:t xml:space="preserve">**</w:t>
      </w:r>
    </w:p>
    <w:p>
      <w:pPr>
        <w:pStyle w:val="BodyText"/>
      </w:pPr>
      <w:r>
        <w:t xml:space="preserve">**</w:t>
      </w:r>
      <w:r>
        <w:t xml:space="preserve"> </w:t>
      </w:r>
      <w:r>
        <w:t xml:space="preserve">**&lt;**h2&gt;Laboratory Findings and Objective Data</w:t>
      </w:r>
    </w:p>
    <w:p>
      <w:pPr>
        <w:pStyle w:val="BodyText"/>
      </w:pPr>
      <w:r>
        <w:t xml:space="preserve">**</w:t>
      </w:r>
      <w:r>
        <w:t xml:space="preserve"> </w:t>
      </w:r>
      <w:r>
        <w:t xml:space="preserve">**&lt;**h3&gt;A. Visual Acuity (Uncorrected vs. Corrected)</w:t>
      </w:r>
    </w:p>
    <w:p>
      <w:pPr>
        <w:pStyle w:val="BodyText"/>
      </w:pPr>
      <w:r>
        <w:t xml:space="preserve">**</w:t>
      </w:r>
    </w:p>
    <w:p>
      <w:pPr>
        <w:pStyle w:val="BodyText"/>
      </w:pPr>
      <w:r>
        <w:t xml:space="preserve">Eye</w:t>
      </w:r>
    </w:p>
    <w:p>
      <w:pPr>
        <w:pStyle w:val="BodyText"/>
      </w:pPr>
      <w:r>
        <w:t xml:space="preserve">**&lt;**tdunderacuity" class="data"&gt;Distance (6m)</w:t>
      </w:r>
    </w:p>
    <w:p>
      <w:pPr>
        <w:pStyle w:val="BodyText"/>
      </w:pPr>
      <w:r>
        <w:t xml:space="preserve">C近的视力 (Snellen) 1/10</w:t>
      </w:r>
    </w:p>
    <w:p>
      <w:pPr>
        <w:pStyle w:val="BodyText"/>
      </w:pPr>
      <w:r>
        <w:t xml:space="preserve">**</w:t>
      </w:r>
      <w:r>
        <w:t xml:space="preserve"> </w:t>
      </w:r>
      <w:r>
        <w:t xml:space="preserve">**&lt;**tddate_of_birth" class="data"&gt;近距视力 (Near Card) J2</w:t>
      </w:r>
    </w:p>
    <w:p>
      <w:pPr>
        <w:pStyle w:val="BodyText"/>
      </w:pPr>
      <w:r>
        <w:t xml:space="preserve">**</w:t>
      </w:r>
    </w:p>
    <w:p>
      <w:pPr>
        <w:pStyle w:val="BodyText"/>
      </w:pPr>
      <w:r>
        <w:t xml:space="preserve">**</w:t>
      </w:r>
      <w:r>
        <w:t xml:space="preserve"> </w:t>
      </w:r>
      <w:r>
        <w:t xml:space="preserve">**&lt;**tr&gt;</w:t>
      </w:r>
    </w:p>
    <w:p>
      <w:pPr>
        <w:pStyle w:val="BodyText"/>
      </w:pPr>
      <w:r>
        <w:t xml:space="preserve">Right Eye (OD)</w:t>
      </w:r>
    </w:p>
    <w:p>
      <w:pPr>
        <w:pStyle w:val="BodyText"/>
      </w:pPr>
      <w:r>
        <w:t xml:space="preserve">**&lt;**tdunderacuity" class="data"&gt;Distance: 20/50 (Uncorrected)</w:t>
      </w:r>
      <w:r>
        <w:br/>
      </w:r>
      <w:r>
        <w:t xml:space="preserve">Corrected: 20/20 with -1.75 DS</w:t>
      </w:r>
    </w:p>
    <w:p>
      <w:pPr>
        <w:pStyle w:val="BodyText"/>
      </w:pPr>
      <w:r>
        <w:t xml:space="preserve">**</w:t>
      </w:r>
    </w:p>
    <w:p>
      <w:pPr>
        <w:pStyle w:val="BodyText"/>
      </w:pPr>
      <w:r>
        <w:t xml:space="preserve">**</w:t>
      </w:r>
      <w:r>
        <w:t xml:space="preserve"> </w:t>
      </w:r>
      <w:r>
        <w:t xml:space="preserve">**&lt;**tr&gt;</w:t>
      </w:r>
    </w:p>
    <w:p>
      <w:pPr>
        <w:pStyle w:val="BodyText"/>
      </w:pPr>
      <w:r>
        <w:t xml:space="preserve">Left Eye (OS)</w:t>
      </w:r>
    </w:p>
    <w:p>
      <w:pPr>
        <w:pStyle w:val="BodyText"/>
      </w:pPr>
      <w:r>
        <w:t xml:space="preserve">**&lt;**tdunderacuity" class="data"&gt;Distance: 20/60 (Uncorrected)</w:t>
      </w:r>
      <w:r>
        <w:br/>
      </w:r>
      <w:r>
        <w:t xml:space="preserve">Corrected: 20/25 with -1.75 DS / -0.5 DC axis 180</w:t>
      </w:r>
    </w:p>
    <w:p>
      <w:pPr>
        <w:pStyle w:val="BodyText"/>
      </w:pPr>
      <w:r>
        <w:t xml:space="preserve">**</w:t>
      </w:r>
    </w:p>
    <w:p>
      <w:pPr>
        <w:pStyle w:val="BodyText"/>
      </w:pPr>
      <w:r>
        <w:t xml:space="preserve">**</w:t>
      </w:r>
      <w:r>
        <w:t xml:space="preserve"> </w:t>
      </w:r>
      <w:r>
        <w:t xml:space="preserve">**&lt;**h3&gt;B. Intraocular Pressure (IOP)</w:t>
      </w:r>
    </w:p>
    <w:p>
      <w:pPr>
        <w:pStyle w:val="BodyText"/>
      </w:pPr>
      <w:r>
        <w:t xml:space="preserve">**</w:t>
      </w:r>
    </w:p>
    <w:p>
      <w:pPr>
        <w:pStyle w:val="BodyText"/>
      </w:pPr>
      <w:r>
        <w:t xml:space="preserve">**&lt;**tr&gt;</w:t>
      </w:r>
    </w:p>
    <w:p>
      <w:pPr>
        <w:pStyle w:val="BodyText"/>
      </w:pPr>
      <w:r>
        <w:t xml:space="preserve">Eye</w:t>
      </w:r>
    </w:p>
    <w:p>
      <w:pPr>
        <w:pStyle w:val="BodyText"/>
      </w:pPr>
      <w:r>
        <w:t xml:space="preserve">**&lt;**tddate_of_birth" class="data"&gt;Measurement (mmHg) 14.5 mmHg</w:t>
      </w:r>
      <w:r>
        <w:br/>
      </w:r>
      <w:r>
        <w:t xml:space="preserve">Left Eye (OS): 15.0 mmHg</w:t>
      </w:r>
    </w:p>
    <w:p>
      <w:pPr>
        <w:pStyle w:val="BodyText"/>
      </w:pPr>
      <w:r>
        <w:t xml:space="preserve">**</w:t>
      </w:r>
    </w:p>
    <w:p>
      <w:pPr>
        <w:pStyle w:val="BodyText"/>
      </w:pPr>
      <w:r>
        <w:t xml:space="preserve">**</w:t>
      </w:r>
    </w:p>
    <w:p>
      <w:pPr>
        <w:pStyle w:val="BodyText"/>
      </w:pPr>
      <w:r>
        <w:t xml:space="preserve">**</w:t>
      </w:r>
      <w:r>
        <w:t xml:space="preserve"> </w:t>
      </w:r>
      <w:r>
        <w:t xml:space="preserve">**&lt;**p&gt;</w:t>
      </w:r>
      <w:r>
        <w:rPr>
          <w:bCs/>
          <w:b/>
        </w:rPr>
        <w:t xml:space="preserve">Note:</w:t>
      </w:r>
      <w:r>
        <w:t xml:space="preserve"> </w:t>
      </w:r>
      <w:r>
        <w:t xml:space="preserve">The IOP values fall within the normal physiological range (10-21 mmHg). This effectively rules out high-tension glaucoma at this stage, a significant finding given the family history of ocular hypertension noted in the patient's brief.</w:t>
      </w:r>
    </w:p>
    <w:p>
      <w:pPr>
        <w:pStyle w:val="BodyText"/>
      </w:pPr>
      <w:r>
        <w:t xml:space="preserve">**</w:t>
      </w:r>
      <w:r>
        <w:t xml:space="preserve"> </w:t>
      </w:r>
      <w:r>
        <w:t xml:space="preserve">**&lt;**h3&gt;C. Slit-Lamp Examination</w:t>
      </w:r>
    </w:p>
    <w:p>
      <w:pPr>
        <w:pStyle w:val="BodyText"/>
      </w:pPr>
      <w:r>
        <w:t xml:space="preserve">**</w:t>
      </w:r>
      <w:r>
        <w:t xml:space="preserve"> </w:t>
      </w:r>
      <w:r>
        <w:t xml:space="preserve">**&lt;**ul&gt;</w:t>
      </w:r>
      <w:r>
        <w:t xml:space="preserve"> </w:t>
      </w:r>
      <w:r>
        <w:t xml:space="preserve">**</w:t>
      </w:r>
    </w:p>
    <w:p>
      <w:pPr>
        <w:pStyle w:val="BodyText"/>
      </w:pPr>
      <w:r>
        <w:rPr>
          <w:bCs/>
          <w:b/>
        </w:rPr>
        <w:t xml:space="preserve">Cornea:</w:t>
      </w:r>
      <w:r>
        <w:t xml:space="preserve"> </w:t>
      </w:r>
      <w:r>
        <w:t xml:space="preserve">Clear. No signs of keratitis, edema, or scarring. The tear film breakup time (TBUT) was 8 seconds, indicating mild evaporative dry eye.</w:t>
      </w:r>
    </w:p>
    <w:p>
      <w:pPr>
        <w:pStyle w:val="BodyText"/>
      </w:pPr>
      <w:r>
        <w:t xml:space="preserve">**</w:t>
      </w:r>
      <w:r>
        <w:t xml:space="preserve"> </w:t>
      </w:r>
      <w:r>
        <w:t xml:space="preserve">**</w:t>
      </w:r>
    </w:p>
    <w:p>
      <w:pPr>
        <w:pStyle w:val="BodyText"/>
      </w:pPr>
      <w:r>
        <w:rPr>
          <w:bCs/>
          <w:b/>
        </w:rPr>
        <w:t xml:space="preserve">Anterior Chamber:</w:t>
      </w:r>
      <w:r>
        <w:t xml:space="preserve"> </w:t>
      </w:r>
      <w:r>
        <w:t xml:space="preserve">Deep and quiet. No cells or flare present.</w:t>
      </w:r>
    </w:p>
    <w:p>
      <w:pPr>
        <w:pStyle w:val="BodyText"/>
      </w:pPr>
      <w:r>
        <w:t xml:space="preserve">**</w:t>
      </w:r>
      <w:r>
        <w:t xml:space="preserve"> </w:t>
      </w:r>
      <w:r>
        <w:t xml:space="preserve">**</w:t>
      </w:r>
    </w:p>
    <w:p>
      <w:pPr>
        <w:pStyle w:val="BodyText"/>
      </w:pPr>
      <w:r>
        <w:rPr>
          <w:bCs/>
          <w:b/>
        </w:rPr>
        <w:t xml:space="preserve">Iris:</w:t>
      </w:r>
      <w:r>
        <w:t xml:space="preserve"> </w:t>
      </w:r>
      <w:r>
        <w:t xml:space="preserve">Normal pigmentation, no heterochromia or nodules.</w:t>
      </w:r>
    </w:p>
    <w:p>
      <w:pPr>
        <w:pStyle w:val="BodyText"/>
      </w:pPr>
      <w:r>
        <w:t xml:space="preserve">**</w:t>
      </w:r>
      <w:r>
        <w:t xml:space="preserve"> </w:t>
      </w:r>
      <w:r>
        <w:t xml:space="preserve">**</w:t>
      </w:r>
    </w:p>
    <w:p>
      <w:pPr>
        <w:pStyle w:val="BodyText"/>
      </w:pPr>
      <w:r>
        <w:t xml:space="preserve">Lens:: Clear. No opacities detected. Early nuclear sclerosis was noted but is not yet clinically significant for visual impairment.</w:t>
      </w:r>
    </w:p>
    <w:p>
      <w:pPr>
        <w:pStyle w:val="BodyText"/>
      </w:pPr>
      <w:r>
        <w:t xml:space="preserve">**</w:t>
      </w:r>
    </w:p>
    <w:p>
      <w:pPr>
        <w:pStyle w:val="BodyText"/>
      </w:pPr>
      <w:r>
        <w:t xml:space="preserve">**</w:t>
      </w:r>
      <w:r>
        <w:t xml:space="preserve"> </w:t>
      </w:r>
      <w:r>
        <w:t xml:space="preserve">**&lt;**h3&gt;D. Fundus Examination and OCT</w:t>
      </w:r>
    </w:p>
    <w:p>
      <w:pPr>
        <w:pStyle w:val="BodyText"/>
      </w:pPr>
      <w:r>
        <w:t xml:space="preserve">**</w:t>
      </w:r>
      <w:r>
        <w:t xml:space="preserve"> </w:t>
      </w:r>
      <w:r>
        <w:t xml:space="preserve">The dilated fundus examination revealed a healthy optic disc with distinct margins and a cup-to-disc ratio of 0.3 in both eyes, which is within normal limits. The macula appeared intact with no signs of edema or drusen (yellow deposits associated with age-related macular degeneration). OCT scans confirmed normal retinal thickness layers.</w:t>
      </w:r>
    </w:p>
    <w:p>
      <w:pPr>
        <w:pStyle w:val="BodyText"/>
      </w:pPr>
      <w:r>
        <w:t xml:space="preserve">**</w:t>
      </w:r>
    </w:p>
    <w:p>
      <w:pPr>
        <w:pStyle w:val="BodyText"/>
      </w:pPr>
      <w:r>
        <w:t xml:space="preserve">**</w:t>
      </w:r>
      <w:r>
        <w:t xml:space="preserve"> </w:t>
      </w:r>
      <w:r>
        <w:t xml:space="preserve">**&lt;**h2&gt;Clinical Assessment and Diagnosis</w:t>
      </w:r>
    </w:p>
    <w:p>
      <w:pPr>
        <w:pStyle w:val="BodyText"/>
      </w:pPr>
      <w:r>
        <w:t xml:space="preserve">**</w:t>
      </w:r>
      <w:r>
        <w:t xml:space="preserve"> </w:t>
      </w:r>
      <w:r>
        <w:t xml:space="preserve">**Based on the comprehensive data collected during this ophthalmology lab report session, the following diagnoses are established:</w:t>
      </w:r>
    </w:p>
    <w:p>
      <w:pPr>
        <w:pStyle w:val="BodyText"/>
      </w:pPr>
      <w:r>
        <w:t xml:space="preserve">**</w:t>
      </w:r>
      <w:r>
        <w:t xml:space="preserve"> </w:t>
      </w:r>
      <w:r>
        <w:t xml:space="preserve">**1. Mild Myopia (Refractive Error):**</w:t>
      </w:r>
      <w:r>
        <w:t xml:space="preserve"> </w:t>
      </w:r>
      <w:r>
        <w:t xml:space="preserve">The primary cause of the patient's visual complaints is simple myopia, slightly astigmatic in the left eye. This is a very common condition in urban centers like Paris due to extensive near-work and limited outdoor childhood exposure. It is fully correctable with spectacles or contact lenses.</w:t>
      </w:r>
    </w:p>
    <w:p>
      <w:pPr>
        <w:pStyle w:val="BodyText"/>
      </w:pPr>
      <w:r>
        <w:t xml:space="preserve">**</w:t>
      </w:r>
      <w:r>
        <w:t xml:space="preserve"> </w:t>
      </w:r>
      <w:r>
        <w:t xml:space="preserve">**2. Mild Dry Eye Syndrome (Keratoconjunctivitis Sicca):**</w:t>
      </w:r>
      <w:r>
        <w:t xml:space="preserve"> </w:t>
      </w:r>
      <w:r>
        <w:t xml:space="preserve">Secondary to environmental factors (pollution, air conditioning) and screen usage, the patient exhibits mild tear film instability. This may contribute to intermittent blurring and irritation.</w:t>
      </w:r>
    </w:p>
    <w:p>
      <w:pPr>
        <w:pStyle w:val="BodyText"/>
      </w:pPr>
      <w:r>
        <w:t xml:space="preserve">**</w:t>
      </w:r>
      <w:r>
        <w:t xml:space="preserve"> </w:t>
      </w:r>
      <w:r>
        <w:t xml:space="preserve">**3. Absence of Pathological Conditions:**</w:t>
      </w:r>
      <w:r>
        <w:t xml:space="preserve"> </w:t>
      </w:r>
      <w:r>
        <w:t xml:space="preserve">No evidence of glaucoma, cataracts requiring surgery, diabetic retinopathy, or macular degeneration was found at this time.</w:t>
      </w:r>
    </w:p>
    <w:p>
      <w:pPr>
        <w:pStyle w:val="BodyText"/>
      </w:pPr>
      <w:r>
        <w:t xml:space="preserve">**</w:t>
      </w:r>
    </w:p>
    <w:p>
      <w:pPr>
        <w:pStyle w:val="BodyText"/>
      </w:pPr>
      <w:r>
        <w:t xml:space="preserve">**</w:t>
      </w:r>
      <w:r>
        <w:t xml:space="preserve"> </w:t>
      </w:r>
      <w:r>
        <w:t xml:space="preserve">**&lt;**h2&gt;Treatment Plan and Recommendations</w:t>
      </w:r>
    </w:p>
    <w:p>
      <w:pPr>
        <w:pStyle w:val="BodyText"/>
      </w:pPr>
      <w:r>
        <w:t xml:space="preserve">**</w:t>
      </w:r>
      <w:r>
        <w:t xml:space="preserve"> </w:t>
      </w:r>
      <w:r>
        <w:t xml:space="preserve">**To ensure optimal visual health and align with standard of care in France, the following management plan is recommended:</w:t>
      </w:r>
    </w:p>
    <w:p>
      <w:pPr>
        <w:pStyle w:val="BodyText"/>
      </w:pPr>
      <w:r>
        <w:t xml:space="preserve">**</w:t>
      </w:r>
      <w:r>
        <w:t xml:space="preserve"> </w:t>
      </w:r>
      <w:r>
        <w:t xml:space="preserve">**1. Corrective Lenses:</w:t>
      </w:r>
    </w:p>
    <w:p>
      <w:pPr>
        <w:pStyle w:val="BodyText"/>
      </w:pPr>
      <w:r>
        <w:t xml:space="preserve">The patient is prescribed glasses with a prescription of:</w:t>
      </w:r>
      <w:r>
        <w:br/>
      </w:r>
      <w:r>
        <w:rPr>
          <w:iCs/>
          <w:i/>
        </w:rPr>
        <w:t xml:space="preserve">OD: -1.75 Sphere</w:t>
      </w:r>
      <w:r>
        <w:br/>
      </w:r>
      <w:r>
        <w:rPr>
          <w:iCs/>
          <w:i/>
        </w:rPr>
        <w:t xml:space="preserve">OS: -1.75 Sphere / -0.50 Cylinder x 180°</w:t>
      </w:r>
      <w:r>
        <w:t xml:space="preserve">.</w:t>
      </w:r>
      <w:r>
        <w:br/>
      </w:r>
      <w:r>
        <w:t xml:space="preserve">These lenses should be worn for distance activities (driving, cinema, sports) to prevent eye strain and headaches.</w:t>
      </w:r>
    </w:p>
    <w:p>
      <w:pPr>
        <w:pStyle w:val="BodyText"/>
      </w:pPr>
      <w:r>
        <w:t xml:space="preserve">**</w:t>
      </w:r>
      <w:r>
        <w:t xml:space="preserve"> </w:t>
      </w:r>
      <w:r>
        <w:t xml:space="preserve">**2. Artificial Tears:</w:t>
      </w:r>
    </w:p>
    <w:p>
      <w:pPr>
        <w:pStyle w:val="BodyText"/>
      </w:pPr>
      <w:r>
        <w:t xml:space="preserve">Preservative-free hyaluronic acid drops are recommended twice daily during the workday to manage dry eye symptoms. This is particularly advised given the air quality variations in Parisian environments.</w:t>
      </w:r>
    </w:p>
    <w:p>
      <w:pPr>
        <w:pStyle w:val="BodyText"/>
      </w:pPr>
      <w:r>
        <w:t xml:space="preserve">**</w:t>
      </w:r>
      <w:r>
        <w:t xml:space="preserve"> </w:t>
      </w:r>
      <w:r>
        <w:t xml:space="preserve">**3. Lifestyle Modifications:</w:t>
      </w:r>
    </w:p>
    <w:p>
      <w:pPr>
        <w:pStyle w:val="BodyText"/>
      </w:pPr>
      <w:r>
        <w:t xml:space="preserve">- Adhere to the 20-20-20 rule (every 20 minutes, look at something 20 feet away for 20 seconds) when using digital devices.</w:t>
      </w:r>
      <w:r>
        <w:t xml:space="preserve"> </w:t>
      </w:r>
      <w:r>
        <w:t xml:space="preserve">- Increase outdoor physical activity, as natural light exposure is beneficial for slowing myopic progression and overall ocular health.</w:t>
      </w:r>
    </w:p>
    <w:p>
      <w:pPr>
        <w:pStyle w:val="BodyText"/>
      </w:pPr>
      <w:r>
        <w:t xml:space="preserve">**</w:t>
      </w:r>
      <w:r>
        <w:t xml:space="preserve"> </w:t>
      </w:r>
      <w:r>
        <w:t xml:space="preserve">**4. Follow-Up Schedule:</w:t>
      </w:r>
    </w:p>
    <w:p>
      <w:pPr>
        <w:pStyle w:val="BodyText"/>
      </w:pPr>
      <w:r>
        <w:t xml:space="preserve">A routine follow-up appointment is scheduled in 12 months. Given the French healthcare system's preventive approach, annual eye exams are encouraged for adults over 40 to monitor for age-related changes such as presbyopia or early cataract formation.</w:t>
      </w:r>
    </w:p>
    <w:p>
      <w:pPr>
        <w:pStyle w:val="BodyText"/>
      </w:pPr>
      <w:r>
        <w:t xml:space="preserve">**</w:t>
      </w:r>
    </w:p>
    <w:p>
      <w:pPr>
        <w:pStyle w:val="BodyText"/>
      </w:pPr>
      <w:r>
        <w:t xml:space="preserve">**</w:t>
      </w:r>
      <w:r>
        <w:t xml:space="preserve"> </w:t>
      </w:r>
      <w:r>
        <w:t xml:space="preserve">**&lt;**h2&gt;Conclusion</w:t>
      </w:r>
    </w:p>
    <w:p>
      <w:pPr>
        <w:pStyle w:val="BodyText"/>
      </w:pPr>
      <w:r>
        <w:t xml:space="preserve">**</w:t>
      </w:r>
      <w:r>
        <w:t xml:space="preserve"> </w:t>
      </w:r>
      <w:r>
        <w:t xml:space="preserve">This ophthalmology lab report confirms that the patient, Jean-Luc Dubois, presents with a standard refractive error and mild environmental dry eye syndrome. There are no signs of sight-threatening pathology such as glaucoma or retinal disease at this time. The management plan focuses on visual correction and symptomatic relief of dryness. This documentation satisfies the clinical requirements for reimbursement by French health insurance providers (Mutuelle) and provides a clear roadmap for maintaining ocular health in Paris.</w:t>
      </w:r>
    </w:p>
    <w:p>
      <w:pPr>
        <w:pStyle w:val="BodyText"/>
      </w:pPr>
      <w:r>
        <w:t xml:space="preserve">**</w:t>
      </w:r>
      <w:r>
        <w:t xml:space="preserve"> </w:t>
      </w:r>
      <w:r>
        <w:t xml:space="preserve">**Signed,</w:t>
      </w:r>
    </w:p>
    <w:p>
      <w:pPr>
        <w:pStyle w:val="BodyText"/>
      </w:pPr>
      <w:r>
        <w:t xml:space="preserve">**</w:t>
      </w:r>
      <w:r>
        <w:t xml:space="preserve"> </w:t>
      </w:r>
      <w:r>
        <w:t xml:space="preserve">**Dr. Sophie Laurent, MD, PhD</w:t>
      </w:r>
      <w:r>
        <w:br/>
      </w:r>
      <w:r>
        <w:t xml:space="preserve">Chief Ophthalmologist</w:t>
      </w:r>
      <w:r>
        <w:br/>
      </w:r>
      <w:r>
        <w:t xml:space="preserve">Institut de la Vue, Paris**</w:t>
      </w:r>
    </w:p>
    <w:p>
      <w:pPr>
        <w:pStyle w:val="BodyText"/>
      </w:pPr>
      <w:r>
        <w:t xml:space="preserve">**</w:t>
      </w:r>
      <w:r>
        <w:t xml:space="preserve"> </w:t>
      </w:r>
      <w:r>
        <w:rPr>
          <w:bCs/>
          <w:b/>
        </w:rPr>
        <w:t xml:space="preserve">Disclaimer:</w:t>
      </w:r>
      <w:r>
        <w:br/>
      </w:r>
      <w:r>
        <w:t xml:space="preserve">This document is generated for educational and administrative purposes within the context of French medical practices. It does not constitute direct medical advice without a physical consultation. All data is anonymized except where explicitly stated for simulation purposes, adhering to GDPR (General Data Protection Regulation) standards applicable in France.</w:t>
      </w:r>
      <w:r>
        <w:br/>
      </w:r>
      <w:r>
        <w:br/>
      </w:r>
      <w:r>
        <w:rPr>
          <w:iCs/>
          <w:i/>
        </w:rPr>
        <w:t xml:space="preserve">Page 1 of 1</w:t>
      </w: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Diagnostic Lab Report: Paris, France</dc:title>
  <dc:creator/>
  <dc:language>en</dc:language>
  <cp:keywords/>
  <dcterms:created xsi:type="dcterms:W3CDTF">2026-07-29T08:57:21Z</dcterms:created>
  <dcterms:modified xsi:type="dcterms:W3CDTF">2026-07-29T08:57:21Z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