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Ophthalmologic</w:t>
      </w:r>
      <w:r>
        <w:t xml:space="preserve"> </w:t>
      </w:r>
      <w:r>
        <w:t xml:space="preserve">Assessment</w:t>
      </w:r>
      <w:r>
        <w:t xml:space="preserve"> </w:t>
      </w:r>
      <w:r>
        <w:t xml:space="preserve">and</w:t>
      </w:r>
      <w:r>
        <w:t xml:space="preserve"> </w:t>
      </w:r>
      <w:r>
        <w:t xml:space="preserve">Clinical</w:t>
      </w:r>
      <w:r>
        <w:t xml:space="preserve"> </w:t>
      </w:r>
      <w:r>
        <w:t xml:space="preserve">Observations</w:t>
      </w:r>
      <w:r>
        <w:t xml:space="preserve"> </w:t>
      </w:r>
      <w:r>
        <w:t xml:space="preserve">in</w:t>
      </w:r>
      <w:r>
        <w:t xml:space="preserve"> </w:t>
      </w:r>
      <w:r>
        <w:t xml:space="preserve">India</w:t>
      </w:r>
      <w:r>
        <w:t xml:space="preserve"> </w:t>
      </w:r>
      <w:r>
        <w:t xml:space="preserve">Bangalore</w:t>
      </w:r>
    </w:p>
    <w:bookmarkStart w:id="20" w:name="laboratory-report-document"/>
    <w:p>
      <w:pPr>
        <w:pStyle w:val="Heading1"/>
      </w:pPr>
      <w:r>
        <w:t xml:space="preserve">Laboratory Report Document</w:t>
      </w:r>
    </w:p>
    <w:p>
      <w:pPr>
        <w:pStyle w:val="FirstParagraph"/>
      </w:pPr>
      <w:r>
        <w:rPr>
          <w:bCs/>
          <w:b/>
        </w:rPr>
        <w:t xml:space="preserve">Patient ID:</w:t>
      </w:r>
      <w:r>
        <w:t xml:space="preserve"> </w:t>
      </w:r>
      <w:r>
        <w:t xml:space="preserve">IND-BLR-2023-X89</w:t>
      </w:r>
      <w:r>
        <w:br/>
      </w:r>
      <w:r>
        <w:rPr>
          <w:bCs/>
          <w:b/>
        </w:rPr>
        <w:t xml:space="preserve">Date of Examination:</w:t>
      </w:r>
      <w:r>
        <w:t xml:space="preserve"> </w:t>
      </w:r>
      <w:r>
        <w:t xml:space="preserve">October 24, 2023</w:t>
      </w:r>
      <w:r>
        <w:br/>
      </w:r>
    </w:p>
    <w:p>
      <w:pPr>
        <w:pStyle w:val="BodyText"/>
      </w:pPr>
      <w:r>
        <w:t xml:space="preserve">Institution Type:** Ophthalmologist Clinic &amp; Diagnostic Center</w:t>
      </w:r>
    </w:p>
    <w:p>
      <w:pPr>
        <w:pStyle w:val="BodyText"/>
      </w:pPr>
      <w:r>
        <w:rPr>
          <w:bCs/>
          <w:b/>
        </w:rPr>
        <w:t xml:space="preserve">Location Context: India Bangalore</w:t>
      </w:r>
    </w:p>
    <w:bookmarkEnd w:id="20"/>
    <w:bookmarkStart w:id="32" w:name="Xa1e19cc40387a2b538a879d2cc055cba35a29b5"/>
    <w:p>
      <w:pPr>
        <w:pStyle w:val="Heading1"/>
      </w:pPr>
      <w:r>
        <w:t xml:space="preserve">Clinical Laboratory Report: Comprehensive Ophthalmic Evaluation and Retinal Analysis in India Bangalore</w:t>
      </w:r>
    </w:p>
    <w:bookmarkStart w:id="21" w:name="X2dc8d040a1378af62a2213ba6f2a927df829e31"/>
    <w:p>
      <w:pPr>
        <w:pStyle w:val="Heading2"/>
      </w:pPr>
      <w:r>
        <w:t xml:space="preserve">1. Executive Summary of the Ophthalmologist Consultation</w:t>
      </w:r>
    </w:p>
    <w:p>
      <w:pPr>
        <w:pStyle w:val="FirstParagraph"/>
      </w:pPr>
      <w:r>
        <w:t xml:space="preserve">This laboratory report serves as a comprehensive summary of an ophthalmologic evaluation conducted within the metropolitan healthcare infrastructure of India Bangalore. The primary objective of this report is to document clinical findings, diagnostic test results, and therapeutic recommendations provided by a certified</w:t>
      </w:r>
      <w:r>
        <w:t xml:space="preserve"> </w:t>
      </w:r>
      <w:r>
        <w:rPr>
          <w:bCs/>
          <w:b/>
        </w:rPr>
        <w:t xml:space="preserve">Ophthalmologist</w:t>
      </w:r>
      <w:r>
        <w:t xml:space="preserve">. Given that India Bangalore is rapidly emerging as a global hub for medical tourism and advanced healthcare services in South Asia, the protocols followed in this</w:t>
      </w:r>
      <w:r>
        <w:t xml:space="preserve"> </w:t>
      </w:r>
      <w:r>
        <w:rPr>
          <w:bCs/>
          <w:b/>
        </w:rPr>
        <w:t xml:space="preserve">Lab Report adhere strictly to both national standards set by the National Health Mission (NHM) of India and international benchmarks established by organizations such as the American Academy of Ophthalmology (AAO).</w:t>
      </w:r>
      <w:r>
        <w:rPr>
          <w:bCs/>
          <w:b/>
        </w:rPr>
        <w:t xml:space="preserve"> </w:t>
      </w:r>
      <w:r>
        <w:rPr>
          <w:bCs/>
          <w:b/>
        </w:rPr>
        <w:t xml:space="preserve">The patient presented with complaints of blurred vision, intermittent headaches, and difficulty in night driving. These symptoms are increasingly common among the urban demographic in</w:t>
      </w:r>
      <w:r>
        <w:rPr>
          <w:bCs/>
          <w:b/>
        </w:rPr>
        <w:t xml:space="preserve"> </w:t>
      </w:r>
      <w:r>
        <w:rPr>
          <w:bCs/>
          <w:b/>
          <w:bCs/>
          <w:b/>
        </w:rPr>
        <w:t xml:space="preserve">India Bangalore</w:t>
      </w:r>
      <w:r>
        <w:rPr>
          <w:bCs/>
          <w:b/>
        </w:rPr>
        <w:t xml:space="preserve">, where high screen exposure rates contribute to digital eye strain. The following sections detail the methodologies used during the ophthalmologic examination, laboratory data collected from non-invasive diagnostic tools, and subsequent clinical interpretations by the treating</w:t>
      </w:r>
      <w:r>
        <w:rPr>
          <w:bCs/>
          <w:b/>
        </w:rPr>
        <w:t xml:space="preserve"> </w:t>
      </w:r>
      <w:r>
        <w:rPr>
          <w:bCs/>
          <w:b/>
          <w:bCs/>
          <w:b/>
        </w:rPr>
        <w:t xml:space="preserve">Ophthalmologist.</w:t>
      </w:r>
    </w:p>
    <w:bookmarkEnd w:id="21"/>
    <w:bookmarkStart w:id="22" w:name="Xd8ad17592d3307e95c4f90475f8850557905ad9"/>
    <w:p>
      <w:pPr>
        <w:pStyle w:val="Heading2"/>
      </w:pPr>
      <w:r>
        <w:t xml:space="preserve">2. Patient Demographics and Clinical History in India Bangalore Context</w:t>
      </w:r>
    </w:p>
    <w:p>
      <w:pPr>
        <w:pStyle w:val="FirstParagraph"/>
      </w:pPr>
      <w:r>
        <w:t xml:space="preserve">To ensure accurate diagnosis, demographic factors specific to the region of</w:t>
      </w:r>
      <w:r>
        <w:t xml:space="preserve"> </w:t>
      </w:r>
      <w:r>
        <w:rPr>
          <w:bCs/>
          <w:b/>
        </w:rPr>
        <w:t xml:space="preserve">India Bangalore were considered. The patient is a 45-year-old male residing in a high-density residential zone typical of urban planning in</w:t>
      </w:r>
      <w:r>
        <w:rPr>
          <w:bCs/>
          <w:b/>
        </w:rPr>
        <w:t xml:space="preserve"> </w:t>
      </w:r>
      <w:r>
        <w:rPr>
          <w:bCs/>
          <w:b/>
          <w:bCs/>
          <w:b/>
        </w:rPr>
        <w:t xml:space="preserve">India Bangalore. Occupational history indicates prolonged use of digital devices (8+ hours daily), which is prevalent among the IT professional community that constitutes a significant portion of the workforce in</w:t>
      </w:r>
      <w:r>
        <w:rPr>
          <w:bCs/>
          <w:b/>
          <w:bCs/>
          <w:b/>
        </w:rPr>
        <w:t xml:space="preserve"> </w:t>
      </w:r>
      <w:r>
        <w:rPr>
          <w:bCs/>
          <w:b/>
          <w:bCs/>
          <w:b/>
          <w:bCs/>
          <w:b/>
        </w:rPr>
        <w:t xml:space="preserve">India Bangalore.</w:t>
      </w:r>
      <w:r>
        <w:rPr>
          <w:bCs/>
          <w:b/>
          <w:bCs/>
          <w:b/>
          <w:bCs/>
          <w:b/>
        </w:rPr>
        <w:t xml:space="preserve"> </w:t>
      </w:r>
      <w:r>
        <w:rPr>
          <w:bCs/>
          <w:b/>
          <w:bCs/>
          <w:b/>
          <w:bCs/>
          <w:b/>
        </w:rPr>
        <w:t xml:space="preserve">The family history includes Type 2 Diabetes Mellitus, a condition with high prevalence in India due to genetic predisposition and lifestyle changes associated with rapid urbanization. This familial factor was critical for the</w:t>
      </w:r>
      <w:r>
        <w:rPr>
          <w:bCs/>
          <w:b/>
          <w:bCs/>
          <w:b/>
          <w:bCs/>
          <w:b/>
        </w:rPr>
        <w:t xml:space="preserve"> </w:t>
      </w:r>
      <w:r>
        <w:rPr>
          <w:bCs/>
          <w:b/>
          <w:bCs/>
          <w:b/>
          <w:bCs/>
          <w:b/>
          <w:bCs/>
          <w:b/>
        </w:rPr>
        <w:t xml:space="preserve">Ophthalmologist to assess potential diabetic retinopathy risks. The social history revealed occasional exposure to dust pollution, another relevant factor given the environmental conditions in major Indian cities including</w:t>
      </w:r>
      <w:r>
        <w:rPr>
          <w:bCs/>
          <w:b/>
          <w:bCs/>
          <w:b/>
          <w:bCs/>
          <w:b/>
          <w:bCs/>
          <w:b/>
        </w:rPr>
        <w:t xml:space="preserve"> </w:t>
      </w:r>
      <w:r>
        <w:rPr>
          <w:bCs/>
          <w:b/>
          <w:bCs/>
          <w:b/>
          <w:bCs/>
          <w:b/>
          <w:bCs/>
          <w:b/>
          <w:bCs/>
          <w:b/>
        </w:rPr>
        <w:t xml:space="preserve">India Bangalore.</w:t>
      </w:r>
    </w:p>
    <w:bookmarkEnd w:id="22"/>
    <w:bookmarkStart w:id="28" w:name="Xcf405d2dec3293b5bf69ce71fc2ae82fa7369f7"/>
    <w:p>
      <w:pPr>
        <w:pStyle w:val="Heading2"/>
      </w:pPr>
      <w:r>
        <w:t xml:space="preserve">3. Laboratory Diagnostic Procedures and Results</w:t>
      </w:r>
    </w:p>
    <w:p>
      <w:pPr>
        <w:pStyle w:val="FirstParagraph"/>
      </w:pPr>
      <w:r>
        <w:t xml:space="preserve">The ophthalmologic assessment involved a suite of diagnostic procedures designed to evaluate both anterior and posterior segments of the eye. Each test was performed using calibrated equipment housed within the specialized laboratory wing of the clinic in</w:t>
      </w:r>
      <w:r>
        <w:t xml:space="preserve"> </w:t>
      </w:r>
      <w:r>
        <w:rPr>
          <w:bCs/>
          <w:b/>
        </w:rPr>
        <w:t xml:space="preserve">India Bangalore.</w:t>
      </w:r>
    </w:p>
    <w:bookmarkStart w:id="23" w:name="visual-acuity-test-va"/>
    <w:p>
      <w:pPr>
        <w:pStyle w:val="Heading3"/>
      </w:pPr>
      <w:r>
        <w:t xml:space="preserve">3.1 Visual Acuity Test (VA)</w:t>
      </w:r>
    </w:p>
    <w:p>
      <w:pPr>
        <w:pStyle w:val="FirstParagraph"/>
      </w:pPr>
      <w:r>
        <w:t xml:space="preserve">Initial visual acuity testing was conducted using a Snellen chart adapted for low-light conditions, reflecting common urban lighting issues in</w:t>
      </w:r>
      <w:r>
        <w:t xml:space="preserve"> </w:t>
      </w:r>
      <w:r>
        <w:rPr>
          <w:bCs/>
          <w:b/>
        </w:rPr>
        <w:t xml:space="preserve">India Bangalore.</w:t>
      </w:r>
    </w:p>
    <w:p>
      <w:pPr>
        <w:pStyle w:val="BodyText"/>
      </w:pPr>
      <w:r>
        <w:rPr>
          <w:bCs/>
          <w:b/>
        </w:rPr>
        <w:t xml:space="preserve">Right Eye:</w:t>
      </w:r>
      <w:r>
        <w:t xml:space="preserve"> </w:t>
      </w:r>
      <w:r>
        <w:t xml:space="preserve">20/40 (Corrected to 20/25 with refraction)</w:t>
      </w:r>
    </w:p>
    <w:p>
      <w:pPr>
        <w:pStyle w:val="BodyText"/>
      </w:pPr>
      <w:r>
        <w:rPr>
          <w:bCs/>
          <w:b/>
        </w:rPr>
        <w:t xml:space="preserve">Left Eye:</w:t>
      </w:r>
      <w:r>
        <w:t xml:space="preserve"> </w:t>
      </w:r>
      <w:r>
        <w:t xml:space="preserve">20/50 (Corrected to 20/35 with refraction)</w:t>
      </w:r>
    </w:p>
    <w:bookmarkEnd w:id="23"/>
    <w:bookmarkStart w:id="24" w:name="slit-lamp-biomicroscopy"/>
    <w:p>
      <w:pPr>
        <w:pStyle w:val="Heading3"/>
      </w:pPr>
      <w:r>
        <w:t xml:space="preserve">3.2 Slit-Lamp Biomicroscopy</w:t>
      </w:r>
    </w:p>
    <w:p>
      <w:pPr>
        <w:pStyle w:val="FirstParagraph"/>
      </w:pPr>
      <w:r>
        <w:t xml:space="preserve">A detailed examination of the anterior segment was performed. The</w:t>
      </w:r>
      <w:r>
        <w:t xml:space="preserve"> </w:t>
      </w:r>
      <w:r>
        <w:rPr>
          <w:bCs/>
          <w:b/>
        </w:rPr>
        <w:t xml:space="preserve">Ophthalmologist noted mild dry eye syndrome, characterized by reduced tear film breakup time. This finding is consistent with environmental factors such as air conditioning usage in offices across</w:t>
      </w:r>
      <w:r>
        <w:rPr>
          <w:bCs/>
          <w:b/>
        </w:rPr>
        <w:t xml:space="preserve"> </w:t>
      </w:r>
      <w:r>
        <w:rPr>
          <w:bCs/>
          <w:b/>
          <w:bCs/>
          <w:b/>
        </w:rPr>
        <w:t xml:space="preserve">India Bangalore, which often leads to low humidity levels indoors.</w:t>
      </w:r>
    </w:p>
    <w:bookmarkEnd w:id="24"/>
    <w:bookmarkStart w:id="25" w:name="X8e478de636faa086810bef505384b048e9d7045"/>
    <w:p>
      <w:pPr>
        <w:pStyle w:val="Heading3"/>
      </w:pPr>
      <w:r>
        <w:t xml:space="preserve">3.3 Fundus Examination and Optical Coherence Tomography (OCT)</w:t>
      </w:r>
    </w:p>
    <w:p>
      <w:pPr>
        <w:pStyle w:val="FirstParagraph"/>
      </w:pPr>
      <w:r>
        <w:t xml:space="preserve">The posterior segment examination was critical due to the patient’s diabetic history. Dilated fundus examination revealed early microaneurysms in both eyes, indicative of mild non-proliferative diabetic retinopathy. Additionally, an OCT scan was conducted to measure retinal thickness and detect any subclinical macular edema. The laboratory data from the OCT machine showed slight thickening in the central foveal region but no significant fluid accumulation at this stage.</w:t>
      </w:r>
    </w:p>
    <w:bookmarkEnd w:id="25"/>
    <w:bookmarkStart w:id="26" w:name="Xc22c5535a85a6e709f7a0938eefabaeb493d36e"/>
    <w:p>
      <w:pPr>
        <w:pStyle w:val="Heading3"/>
      </w:pPr>
      <w:r>
        <w:t xml:space="preserve">3.4 Tonometry (Intraocular Pressure Measurement)</w:t>
      </w:r>
    </w:p>
    <w:p>
      <w:pPr>
        <w:pStyle w:val="FirstParagraph"/>
      </w:pPr>
      <w:r>
        <w:t xml:space="preserve">Applanation tonometry was performed to rule out glaucoma, a leading cause of irreversible blindness in India Bangalore among older adults. The intraocular pressures were measured as follows:</w:t>
      </w:r>
    </w:p>
    <w:p>
      <w:pPr>
        <w:pStyle w:val="BodyText"/>
      </w:pPr>
      <w:r>
        <w:rPr>
          <w:bCs/>
          <w:b/>
        </w:rPr>
        <w:t xml:space="preserve">Right Eye:</w:t>
      </w:r>
      <w:r>
        <w:t xml:space="preserve"> </w:t>
      </w:r>
      <w:r>
        <w:t xml:space="preserve">14 mmHg</w:t>
      </w:r>
    </w:p>
    <w:bookmarkEnd w:id="26"/>
    <w:bookmarkStart w:id="27" w:name="visual-field-testing-perimetry"/>
    <w:p>
      <w:pPr>
        <w:pStyle w:val="Heading3"/>
      </w:pPr>
      <w:r>
        <w:t xml:space="preserve">3.5 Visual Field Testing (Perimetry)</w:t>
      </w:r>
    </w:p>
    <w:p>
      <w:pPr>
        <w:pStyle w:val="FirstParagraph"/>
      </w:pPr>
      <w:r>
        <w:t xml:space="preserve">Automated perimetry was conducted to assess the functional visual field. The results indicated no significant scotomas or peripheral vision loss, which is a reassuring sign given the age of the patient and familial history of glaucoma in</w:t>
      </w:r>
      <w:r>
        <w:t xml:space="preserve"> </w:t>
      </w:r>
      <w:r>
        <w:rPr>
          <w:bCs/>
          <w:b/>
        </w:rPr>
        <w:t xml:space="preserve">India Bangalore.</w:t>
      </w:r>
    </w:p>
    <w:bookmarkEnd w:id="27"/>
    <w:bookmarkEnd w:id="28"/>
    <w:bookmarkStart w:id="29" w:name="X1a9a8bd70a105ee8d09fde84ae6959e11b737f4"/>
    <w:p>
      <w:pPr>
        <w:pStyle w:val="Heading2"/>
      </w:pPr>
      <w:r>
        <w:t xml:space="preserve">4. Analysis and Interpretation by Ophthalmologist</w:t>
      </w:r>
    </w:p>
    <w:p>
      <w:pPr>
        <w:pStyle w:val="FirstParagraph"/>
      </w:pPr>
      <w:r>
        <w:t xml:space="preserve">The data collected from these laboratory procedures were analyzed by the consulting</w:t>
      </w:r>
      <w:r>
        <w:t xml:space="preserve"> </w:t>
      </w:r>
      <w:r>
        <w:rPr>
          <w:bCs/>
          <w:b/>
        </w:rPr>
        <w:t xml:space="preserve">Ophthalmologist. The diagnosis concluded that the patient suffers from mild non-proliferative diabetic retinopathy exacerbated by uncontrolled blood sugar levels, alongside significant digital eye strain.</w:t>
      </w:r>
      <w:r>
        <w:rPr>
          <w:bCs/>
          <w:b/>
        </w:rPr>
        <w:t xml:space="preserve"> </w:t>
      </w:r>
      <w:r>
        <w:rPr>
          <w:bCs/>
          <w:b/>
        </w:rPr>
        <w:t xml:space="preserve">The correlation between lifestyle factors prevalent in</w:t>
      </w:r>
      <w:r>
        <w:rPr>
          <w:bCs/>
          <w:b/>
        </w:rPr>
        <w:t xml:space="preserve"> </w:t>
      </w:r>
      <w:r>
        <w:rPr>
          <w:bCs/>
          <w:b/>
          <w:bCs/>
          <w:b/>
        </w:rPr>
        <w:t xml:space="preserve">India Bangalore, such as sedentary work environments and high screen time, was identified as a contributing factor to the dry eye symptoms and visual fatigue. Furthermore, the presence of early diabetic changes highlights the necessity for rigorous glycemic control to prevent progression to proliferative stages.</w:t>
      </w:r>
      <w:r>
        <w:rPr>
          <w:bCs/>
          <w:b/>
          <w:bCs/>
          <w:b/>
        </w:rPr>
        <w:t xml:space="preserve"> </w:t>
      </w:r>
      <w:r>
        <w:rPr>
          <w:bCs/>
          <w:b/>
          <w:bCs/>
          <w:b/>
        </w:rPr>
        <w:t xml:space="preserve">It is important to note that access to advanced diagnostic technologies like OCT has significantly improved in</w:t>
      </w:r>
      <w:r>
        <w:rPr>
          <w:bCs/>
          <w:b/>
          <w:bCs/>
          <w:b/>
        </w:rPr>
        <w:t xml:space="preserve"> </w:t>
      </w:r>
      <w:r>
        <w:rPr>
          <w:bCs/>
          <w:b/>
          <w:bCs/>
          <w:b/>
          <w:bCs/>
          <w:b/>
        </w:rPr>
        <w:t xml:space="preserve">India Bangalore, allowing for early detection of conditions that previously required referral to larger metropolitan centers like Chennai or Delhi. This local accessibility enhances the quality of care provided by an</w:t>
      </w:r>
      <w:r>
        <w:rPr>
          <w:bCs/>
          <w:b/>
          <w:bCs/>
          <w:b/>
          <w:bCs/>
          <w:b/>
        </w:rPr>
        <w:t xml:space="preserve"> </w:t>
      </w:r>
      <w:r>
        <w:rPr>
          <w:bCs/>
          <w:b/>
          <w:bCs/>
          <w:b/>
          <w:bCs/>
          <w:b/>
          <w:bCs/>
          <w:b/>
        </w:rPr>
        <w:t xml:space="preserve">Ophthalmologist within the city limits.</w:t>
      </w:r>
    </w:p>
    <w:bookmarkEnd w:id="29"/>
    <w:bookmarkStart w:id="30" w:name="recommendations-and-management-plan"/>
    <w:p>
      <w:pPr>
        <w:pStyle w:val="Heading2"/>
      </w:pPr>
      <w:r>
        <w:t xml:space="preserve">5. Recommendations and Management Plan</w:t>
      </w:r>
    </w:p>
    <w:p>
      <w:pPr>
        <w:pStyle w:val="FirstParagraph"/>
      </w:pPr>
      <w:r>
        <w:t xml:space="preserve">Based on the findings in this lab report, the following management plan was prescribed:</w:t>
      </w:r>
    </w:p>
    <w:p>
      <w:pPr>
        <w:pStyle w:val="BodyText"/>
      </w:pPr>
      <w:r>
        <w:rPr>
          <w:bCs/>
          <w:b/>
        </w:rPr>
        <w:t xml:space="preserve">Glycemic Control:</w:t>
      </w:r>
      <w:r>
        <w:br/>
      </w:r>
      <w:r>
        <w:t xml:space="preserve">The patient was advised to maintain HbA1c levels below 7%. Regular follow-ups with an endocrinologist in</w:t>
      </w:r>
      <w:r>
        <w:t xml:space="preserve"> </w:t>
      </w:r>
      <w:r>
        <w:rPr>
          <w:bCs/>
          <w:b/>
        </w:rPr>
        <w:t xml:space="preserve">India Bangalore were recommended. Stable blood sugar levels are crucial for halting the progression of diabetic retinopathy.</w:t>
      </w:r>
    </w:p>
    <w:p>
      <w:pPr>
        <w:pStyle w:val="BodyText"/>
      </w:pPr>
      <w:r>
        <w:t xml:space="preserve">Ocular Lubrication:</w:t>
      </w:r>
      <w:r>
        <w:br/>
      </w:r>
      <w:r>
        <w:t xml:space="preserve">Prescription of preservative-free artificial tears to manage dry eye symptoms associated with environmental and occupational factors in</w:t>
      </w:r>
    </w:p>
    <w:p>
      <w:pPr>
        <w:pStyle w:val="BodyText"/>
      </w:pPr>
      <w:r>
        <w:t xml:space="preserve">India Bangalore. The patient was instructed to follow the 20-20-20 rule (every 20 minutes, look at something 20 feet away for 20 seconds) to reduce digital eye strain.</w:t>
      </w:r>
    </w:p>
    <w:p>
      <w:pPr>
        <w:pStyle w:val="BodyText"/>
      </w:pPr>
      <w:r>
        <w:rPr>
          <w:bCs/>
          <w:b/>
        </w:rPr>
        <w:t xml:space="preserve">Regular Monitoring:</w:t>
      </w:r>
      <w:r>
        <w:br/>
      </w:r>
      <w:r>
        <w:rPr>
          <w:bCs/>
          <w:b/>
        </w:rPr>
        <w:t xml:space="preserve">A follow-up visit with the</w:t>
      </w:r>
      <w:r>
        <w:rPr>
          <w:bCs/>
          <w:b/>
        </w:rPr>
        <w:t xml:space="preserve"> </w:t>
      </w:r>
      <w:r>
        <w:rPr>
          <w:bCs/>
          <w:b/>
          <w:bCs/>
          <w:b/>
        </w:rPr>
        <w:t xml:space="preserve">Ophthalmologist was scheduled in six months. During this visit, a repeat fundus examination and OCT scan will be conducted to monitor changes in retinal thickness and vascular integrity.</w:t>
      </w:r>
    </w:p>
    <w:p>
      <w:pPr>
        <w:pStyle w:val="BodyText"/>
      </w:pPr>
      <w:r>
        <w:rPr>
          <w:bCs/>
          <w:b/>
        </w:rPr>
        <w:t xml:space="preserve">Lifestyle Modifications:</w:t>
      </w:r>
      <w:r>
        <w:br/>
      </w:r>
      <w:r>
        <w:rPr>
          <w:bCs/>
          <w:b/>
        </w:rPr>
        <w:t xml:space="preserve">The patient was educated on the importance of wearing UV-protective sunglasses when outdoors in</w:t>
      </w:r>
      <w:r>
        <w:rPr>
          <w:bCs/>
          <w:b/>
        </w:rPr>
        <w:t xml:space="preserve"> </w:t>
      </w:r>
      <w:r>
        <w:rPr>
          <w:bCs/>
          <w:b/>
          <w:bCs/>
          <w:b/>
        </w:rPr>
        <w:t xml:space="preserve">India Bangalore, considering the high solar radiation levels. Additionally, dietary adjustments rich in antioxidants (lutein and zeaxanthin) were recommended to support retinal health.</w:t>
      </w:r>
    </w:p>
    <w:bookmarkEnd w:id="30"/>
    <w:bookmarkStart w:id="31" w:name="conclusion"/>
    <w:p>
      <w:pPr>
        <w:pStyle w:val="Heading2"/>
      </w:pPr>
      <w:r>
        <w:t xml:space="preserve">6. Conclusion</w:t>
      </w:r>
    </w:p>
    <w:p>
      <w:pPr>
        <w:pStyle w:val="FirstParagraph"/>
      </w:pPr>
      <w:r>
        <w:t xml:space="preserve">This laboratory report underscores the effectiveness of comprehensive ophthalmologic care within the healthcare ecosystem of</w:t>
      </w:r>
      <w:r>
        <w:t xml:space="preserve"> </w:t>
      </w:r>
      <w:r>
        <w:rPr>
          <w:bCs/>
          <w:b/>
        </w:rPr>
        <w:t xml:space="preserve">India Bangalore. The integration of advanced diagnostic technologies with expert clinical interpretation by an</w:t>
      </w:r>
      <w:r>
        <w:rPr>
          <w:bCs/>
          <w:b/>
        </w:rPr>
        <w:t xml:space="preserve"> </w:t>
      </w:r>
      <w:r>
        <w:rPr>
          <w:bCs/>
          <w:b/>
          <w:bCs/>
          <w:b/>
        </w:rPr>
        <w:t xml:space="preserve">Ophthalmologist allows for early detection and management of sight-threatening conditions such as diabetic retinopathy.</w:t>
      </w:r>
      <w:r>
        <w:rPr>
          <w:bCs/>
          <w:b/>
          <w:bCs/>
          <w:b/>
        </w:rPr>
        <w:t xml:space="preserve"> </w:t>
      </w:r>
      <w:r>
        <w:rPr>
          <w:bCs/>
          <w:b/>
          <w:bCs/>
          <w:b/>
        </w:rPr>
        <w:t xml:space="preserve">As urban centers like</w:t>
      </w:r>
      <w:r>
        <w:rPr>
          <w:bCs/>
          <w:b/>
          <w:bCs/>
          <w:b/>
        </w:rPr>
        <w:t xml:space="preserve"> </w:t>
      </w:r>
      <w:r>
        <w:rPr>
          <w:bCs/>
          <w:b/>
          <w:bCs/>
          <w:b/>
          <w:bCs/>
          <w:b/>
        </w:rPr>
        <w:t xml:space="preserve">India Bangalore continue to grow, the prevalence of lifestyle-related ocular conditions is expected to rise. Therefore, regular screenings and adherence to clinical guidelines remain vital for preserving visual acuity among the population. The findings presented here serve as a baseline for ongoing monitoring and emphasize the critical role of proactive healthcare measures in maintaining eye health in this dynamic metropolitan region.</w:t>
      </w:r>
    </w:p>
    <w:p>
      <w:pPr>
        <w:pStyle w:val="BodyText"/>
      </w:pPr>
      <w:r>
        <w:t xml:space="preserve">Disclaimer:</w:t>
      </w:r>
      <w:r>
        <w:br/>
      </w:r>
      <w:r>
        <w:t xml:space="preserve">This document is generated based on simulated data for educational and structural purposes only. It does not constitute actual medical advice or diagnosis. Patients should always consult a qualified</w:t>
      </w:r>
    </w:p>
    <w:p>
      <w:pPr>
        <w:pStyle w:val="BodyText"/>
      </w:pPr>
      <w:r>
        <w:t xml:space="preserve">Ophthalmologist for personalized care, especially within the specialized healthcare environments of regions like</w:t>
      </w:r>
    </w:p>
    <w:p>
      <w:pPr>
        <w:pStyle w:val="BodyText"/>
      </w:pPr>
      <w:r>
        <w:t xml:space="preserve">India Bangalore.</w:t>
      </w:r>
    </w:p>
    <w:p>
      <w:pPr>
        <w:pStyle w:val="BodyText"/>
      </w:pPr>
      <w:r>
        <w:t xml:space="preserve">Generated by: Automated Clinical Reporting System</w:t>
      </w:r>
      <w:r>
        <w:br/>
      </w:r>
      <w:r>
        <w:t xml:space="preserve">Region Specific Protocol: South India Healthcare Standards (Applicable to India Bangalore)</w:t>
      </w:r>
      <w:r>
        <w:br/>
      </w:r>
      <w:r>
        <w:t xml:space="preserve">Document Classification: Internal Medical Record - Lab Report</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Ophthalmologic Assessment and Clinical Observations in India Bangalore</dc:title>
  <dc:creator/>
  <dc:language>en</dc:language>
  <cp:keywords/>
  <dcterms:created xsi:type="dcterms:W3CDTF">2026-07-29T15:02:43Z</dcterms:created>
  <dcterms:modified xsi:type="dcterms:W3CDTF">2026-07-29T15:02:43Z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