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Ophthalmological</w:t>
      </w:r>
      <w:r>
        <w:t xml:space="preserve"> </w:t>
      </w:r>
      <w:r>
        <w:t xml:space="preserve">Assessment</w:t>
      </w:r>
      <w:r>
        <w:t xml:space="preserve"> </w:t>
      </w:r>
      <w:r>
        <w:t xml:space="preserve">in</w:t>
      </w:r>
      <w:r>
        <w:t xml:space="preserve"> </w:t>
      </w:r>
      <w:r>
        <w:t xml:space="preserve">India</w:t>
      </w:r>
      <w:r>
        <w:t xml:space="preserve"> </w:t>
      </w:r>
      <w:r>
        <w:t xml:space="preserve">Mumbai</w:t>
      </w:r>
    </w:p>
    <w:bookmarkStart w:id="25" w:name="X03658fa58f2b692e3e86647257cc0d9479134d0"/>
    <w:p>
      <w:pPr>
        <w:pStyle w:val="Heading1"/>
      </w:pPr>
      <w:r>
        <w:t xml:space="preserve">Clinical Laboratory Report: Comprehensive Ophthalmological Evaluation</w:t>
      </w:r>
    </w:p>
    <w:p>
      <w:pPr>
        <w:pStyle w:val="FirstParagraph"/>
      </w:pPr>
      <w:r>
        <w:rPr>
          <w:bCs/>
          <w:b/>
        </w:rPr>
        <w:t xml:space="preserve">Patient Identification:</w:t>
      </w:r>
      <w:r>
        <w:br/>
      </w:r>
      <w:r>
        <w:t xml:space="preserve">Patient ID: OM-2023-MUM-894</w:t>
      </w:r>
      <w:r>
        <w:br/>
      </w:r>
      <w:r>
        <w:t xml:space="preserve">Age: 45 Years | Gender: Male</w:t>
      </w:r>
      <w:r>
        <w:br/>
      </w:r>
      <w:r>
        <w:t xml:space="preserve">Location of Service Provider India Mumbai, Maharashtra State.</w:t>
      </w:r>
      <w:r>
        <w:br/>
      </w:r>
    </w:p>
    <w:bookmarkStart w:id="20" w:name="executive-summary-and-introduction"/>
    <w:p>
      <w:pPr>
        <w:pStyle w:val="Heading2"/>
      </w:pPr>
      <w:r>
        <w:t xml:space="preserve">1. Executive Summary and Introduction</w:t>
      </w:r>
    </w:p>
    <w:p>
      <w:pPr>
        <w:pStyle w:val="FirstParagraph"/>
      </w:pPr>
      <w:r>
        <w:t xml:space="preserve">This document serves as a comprehensive Lab Report detailing the ophthalmological findings for a patient residing in and undergoing treatment within the metropolitan region of India Mumbai. The purpose of this report is to synthesize clinical observations, diagnostic test results, and therapeutic recommendations specific to an Ophthalmologist specializing in ocular health within the Indian healthcare context. Mumbai, as a densely populated urban hub with high levels of environmental stressors such as pollution and digital screen exposure presents unique challenges for eye care. Consequently the assessment provided herein is tailored to address these regional factors while adhering to global standards of ophthalmological practice.</w:t>
      </w:r>
    </w:p>
    <w:bookmarkEnd w:id="20"/>
    <w:bookmarkStart w:id="21" w:name="clinical-history-and-background"/>
    <w:p>
      <w:pPr>
        <w:pStyle w:val="Heading2"/>
      </w:pPr>
      <w:r>
        <w:t xml:space="preserve">2. Clinical History and Background</w:t>
      </w:r>
    </w:p>
    <w:p>
      <w:pPr>
        <w:pStyle w:val="FirstParagraph"/>
      </w:pPr>
      <w:r>
        <w:t xml:space="preserve">The patient presented with complaints of intermittent blurred vision, ocular fatigue, and mild photophobia over the past three months. Given the location in India Mumbai where air quality indices frequently fluctuate due to vehicular emissions and construction activities, environmental allergens were considered a primary differential diagnosis. The patient works in a corporate environment requiring prolonged screen time exacerbating potential digital eye strain.</w:t>
      </w:r>
    </w:p>
    <w:p>
      <w:pPr>
        <w:pStyle w:val="BodyText"/>
      </w:pPr>
      <w:r>
        <w:t xml:space="preserve">The medical history reveals no significant systemic diseases such as diabetes or hypertension, which are prevalent in urban India and often lead to diabetic retinopathy or hypertensive choroidopathy. However the Ophthalmologist noted a family history of glaucoma prompting a rigorous evaluation of intraocular pressure and optic nerve health. This report aims to provide a detailed analysis based on the specialized consultation with an Ophthalmologist certified by the National Board of Examinations in India, ensuring that all procedures comply with local medical regulations and international best practices.</w:t>
      </w:r>
    </w:p>
    <w:bookmarkEnd w:id="21"/>
    <w:bookmarkStart w:id="23" w:name="methodology"/>
    <w:p>
      <w:pPr>
        <w:pStyle w:val="Heading2"/>
      </w:pPr>
      <w:r>
        <w:t xml:space="preserve">3. Methodology</w:t>
      </w:r>
    </w:p>
    <w:p>
      <w:pPr>
        <w:pStyle w:val="FirstParagraph"/>
      </w:pPr>
      <w:r>
        <w:t xml:space="preserve">The following diagnostic protocols were employed during this laboratory assessment:</w:t>
      </w:r>
    </w:p>
    <w:p>
      <w:pPr>
        <w:numPr>
          <w:ilvl w:val="0"/>
          <w:numId w:val="1001"/>
        </w:numPr>
        <w:pStyle w:val="Compact"/>
      </w:pPr>
      <w:r>
        <w:rPr>
          <w:bCs/>
          <w:b/>
        </w:rPr>
        <w:t xml:space="preserve">Slit-Lamp Biomicroscopy:</w:t>
      </w:r>
      <w:r>
        <w:t xml:space="preserve">A standard examination of the anterior segment to detect corneal abrasions, cataracts, or inflammatory signs.</w:t>
      </w:r>
    </w:p>
    <w:p>
      <w:pPr>
        <w:numPr>
          <w:ilvl w:val="0"/>
          <w:numId w:val="1001"/>
        </w:numPr>
        <w:pStyle w:val="Compact"/>
      </w:pPr>
      <w:r>
        <w:rPr>
          <w:bCs/>
          <w:b/>
        </w:rPr>
        <w:t xml:space="preserve">OCT (Optical Coherence Tomography):</w:t>
      </w:r>
      <w:r>
        <w:t xml:space="preserve">To map retinal layers and rule out macular degeneration.</w:t>
      </w:r>
    </w:p>
    <w:p>
      <w:pPr>
        <w:numPr>
          <w:ilvl w:val="0"/>
          <w:numId w:val="1001"/>
        </w:numPr>
        <w:pStyle w:val="Compact"/>
      </w:pPr>
      <w:r>
        <w:rPr>
          <w:bCs/>
          <w:b/>
        </w:rPr>
        <w:t xml:space="preserve">Visual Field Testing:</w:t>
      </w:r>
      <w:r>
        <w:t xml:space="preserve">Humphrey 24-2 test to assess for glaucomatous damage.</w:t>
      </w:r>
    </w:p>
    <w:p>
      <w:pPr>
        <w:numPr>
          <w:ilvl w:val="0"/>
          <w:numId w:val="1001"/>
        </w:numPr>
        <w:pStyle w:val="Compact"/>
      </w:pPr>
      <w:r>
        <w:t xml:space="preserve">IOP Measurement:Gonioscopy and Goldmann Applanation Tonometry to measure intraocular pressure accurately.</w:t>
      </w:r>
    </w:p>
    <w:bookmarkStart w:id="22" w:name="data-collection-context-in-india-mumbai"/>
    <w:p>
      <w:pPr>
        <w:pStyle w:val="Heading3"/>
      </w:pPr>
      <w:r>
        <w:t xml:space="preserve">Data Collection Context in India Mumbai</w:t>
      </w:r>
    </w:p>
    <w:p>
      <w:pPr>
        <w:pStyle w:val="FirstParagraph"/>
      </w:pPr>
      <w:r>
        <w:t xml:space="preserve">All procedures were conducted using state-of-the-art equipment available in leading ophthalmology centers across India Mumbai. The high prevalence of myopia and dry eye syndrome in this demographic necessitates precise calibration of diagnostic tools to account for environmental variables such as humidity and particulate matter which can affect tear film stability.</w:t>
      </w:r>
    </w:p>
    <w:bookmarkEnd w:id="22"/>
    <w:bookmarkEnd w:id="23"/>
    <w:bookmarkStart w:id="24" w:name="diagnostic-results"/>
    <w:p>
      <w:pPr>
        <w:pStyle w:val="Heading2"/>
      </w:pPr>
      <w:r>
        <w:t xml:space="preserve">4. Diagnostic Results</w:t>
      </w:r>
    </w:p>
    <w:p>
      <w:pPr>
        <w:pStyle w:val="FirstParagraph"/>
      </w:pPr>
      <w:r>
        <w:t xml:space="preserve">Parameter</w:t>
      </w:r>
    </w:p>
    <w:p>
      <w:pPr>
        <w:pStyle w:val="BodyText"/>
      </w:pPr>
      <w:r>
        <w:t xml:space="preserve">Oculus Dexter (Right Eye)</w:t>
      </w:r>
    </w:p>
    <w:p>
      <w:pPr>
        <w:pStyle w:val="BodyText"/>
      </w:pPr>
      <w:r>
        <w:t xml:space="preserve">Oculus Sinister (Left Eye)</w:t>
      </w:r>
    </w:p>
    <w:p>
      <w:pPr>
        <w:pStyle w:val="BodyText"/>
      </w:pPr>
      <w:r>
        <w:t xml:space="preserve">tR&gt;tD&gt;Td&gt;DtdTd</w:t>
      </w:r>
    </w:p>
    <w:p>
      <w:pPr>
        <w:pStyle w:val="BodyText"/>
      </w:pPr>
      <w:r>
        <w:t xml:space="preserve">d&gt;Td</w:t>
      </w:r>
    </w:p>
    <w:p>
      <w:pPr>
        <w:pStyle w:val="BodyText"/>
      </w:pPr>
      <w:r>
        <w:t xml:space="preserve">&gt;Td&gt;&gt;tDtd</w:t>
      </w:r>
    </w:p>
    <w:p>
      <w:pPr>
        <w:pStyle w:val="BodyText"/>
      </w:pPr>
      <w:r>
        <w:t xml:space="preserve">Visual Acuity (Snellen)</w:t>
      </w:r>
    </w:p>
    <w:p>
      <w:pPr>
        <w:pStyle w:val="BodyText"/>
      </w:pPr>
      <w:r>
        <w:t xml:space="preserve">6/9 Uncorrected / 6/6 Corrected</w:t>
      </w:r>
    </w:p>
    <w:p>
      <w:pPr>
        <w:pStyle w:val="BodyText"/>
      </w:pPr>
      <w:r>
        <w:t xml:space="preserve">6/12 Uncorrected / 6/7.5 Corrected</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consensual response present.</w:t>
      </w:r>
    </w:p>
    <w:p>
      <w:pPr>
        <w:pStyle w:val="BodyText"/>
      </w:pPr>
      <w:r>
        <w:t xml:space="preserve">tR&gt;Td&gt;OcH&gt;Sinister (Left Eye)</w:t>
      </w:r>
    </w:p>
    <w:p>
      <w:pPr>
        <w:pStyle w:val="BodyText"/>
      </w:pPr>
      <w:r>
        <w:t xml:space="preserve">d&gt;&gt;tDt</w:t>
      </w:r>
    </w:p>
    <w:p>
      <w:pPr>
        <w:pStyle w:val="BodyText"/>
      </w:pPr>
      <w:r>
        <w:t xml:space="preserve">&gt;td&lt;</w:t>
      </w:r>
    </w:p>
    <w:p>
      <w:pPr>
        <w:pStyle w:val="BodyText"/>
      </w:pPr>
      <w:r>
        <w:t xml:space="preserve">R</w:t>
      </w:r>
    </w:p>
    <w:p>
      <w:pPr>
        <w:pStyle w:val="BodyText"/>
      </w:pPr>
      <w:r>
        <w:t xml:space="preserve">Distance: OD = -1.50 DS, OS = -2.00 DSCylAxis: OD = 180°, OS = 175°Pupil Reactivity Normal bilateral Direct and cons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Ophthalmological Assessment in India Mumbai</dc:title>
  <dc:creator/>
  <dc:language>en</dc:language>
  <cp:keywords/>
  <dcterms:created xsi:type="dcterms:W3CDTF">2026-07-29T04:29:57Z</dcterms:created>
  <dcterms:modified xsi:type="dcterms:W3CDTF">2026-07-29T04:29:57Z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