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Ophthalmological</w:t>
      </w:r>
      <w:r>
        <w:t xml:space="preserve"> </w:t>
      </w:r>
      <w:r>
        <w:t xml:space="preserve">Services</w:t>
      </w:r>
      <w:r>
        <w:t xml:space="preserve"> </w:t>
      </w:r>
      <w:r>
        <w:t xml:space="preserve">in</w:t>
      </w:r>
      <w:r>
        <w:t xml:space="preserve"> </w:t>
      </w:r>
      <w:r>
        <w:t xml:space="preserve">Iraq,</w:t>
      </w:r>
      <w:r>
        <w:t xml:space="preserve"> </w:t>
      </w:r>
      <w:r>
        <w:t xml:space="preserve">Baghdad</w:t>
      </w:r>
    </w:p>
    <w:bookmarkStart w:id="30" w:name="Xb5d49778782e52c284b6ed045f68c8b14992745"/>
    <w:p>
      <w:pPr>
        <w:pStyle w:val="Heading1"/>
      </w:pPr>
      <w:r>
        <w:t xml:space="preserve">Laboratory Report: Infrastructure and Operational Analysis of Ophthalmologist Facilities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Iraq</w:t>
      </w:r>
      <w:r>
        <w:br/>
      </w:r>
      <w:r>
        <w:rPr>
          <w:bCs/>
          <w:b/>
        </w:rPr>
        <w:t xml:space="preserve">From:</w:t>
      </w:r>
      <w:r>
        <w:t xml:space="preserve"> </w:t>
      </w:r>
      <w:r>
        <w:t xml:space="preserve">Department of Medical Infrastructure Assessment</w:t>
      </w:r>
      <w:r>
        <w:br/>
      </w:r>
    </w:p>
    <w:p>
      <w:pPr>
        <w:pStyle w:val="BodyText"/>
      </w:pPr>
      <w:r>
        <w:t xml:space="preserve">Subject: Strategic Evaluation and Deployment Plan for Ophthalmologist Services in the Capital Region</w:t>
      </w:r>
    </w:p>
    <w:bookmarkStart w:id="20" w:name="i.-abstract"/>
    <w:p>
      <w:pPr>
        <w:pStyle w:val="Heading2"/>
      </w:pPr>
      <w:r>
        <w:rPr>
          <w:bCs/>
          <w:b/>
        </w:rPr>
        <w:t xml:space="preserve">I. Abstract</w:t>
      </w:r>
    </w:p>
    <w:p>
      <w:pPr>
        <w:pStyle w:val="FirstParagraph"/>
      </w:pPr>
      <w:r>
        <w:t xml:space="preserve">This Lab Report provides a comprehensive assessment of the current state, operational requirements, and future strategic direction for ophthalmological care within Iraq, specifically focusing on the capital city of Baghdad. The primary objective is to outline the necessary infrastructure upgrades, personnel training protocols, and equipment procurement strategies required to establish a robust network of Ophthalmologist-led clinics and hospital departments. As Baghdad faces a growing burden of preventable blindness due to diabetes-related complications and cataracts in an aging population, this report serves as a foundational document for modernizing eye care services.</w:t>
      </w:r>
    </w:p>
    <w:bookmarkEnd w:id="20"/>
    <w:bookmarkStart w:id="21" w:name="ii.-introduction-and-context"/>
    <w:p>
      <w:pPr>
        <w:pStyle w:val="Heading2"/>
      </w:pPr>
      <w:r>
        <w:rPr>
          <w:bCs/>
          <w:b/>
        </w:rPr>
        <w:t xml:space="preserve">II. Introduction and Context</w:t>
      </w:r>
    </w:p>
    <w:p>
      <w:pPr>
        <w:pStyle w:val="FirstParagraph"/>
      </w:pPr>
      <w:r>
        <w:t xml:space="preserve">The healthcare landscape in Iraq has undergone significant transformation following decades of instability. However, specialized medical fields, particularly ophthalmology, remain under-resourced relative to the demand. In Baghdad, the dense urban population exacerbates the strain on existing facilities. While general surgeons and emergency medicine specialists are well-represented in both public hospitals such as Al-Yarmouk Teaching Hospital and private sector facilities across districts like Karrada and Dora, there is a critical shortage of dedicated</w:t>
      </w:r>
      <w:r>
        <w:t xml:space="preserve"> </w:t>
      </w:r>
      <w:r>
        <w:rPr>
          <w:bCs/>
          <w:b/>
        </w:rPr>
        <w:t xml:space="preserve">Ophthalmologist</w:t>
      </w:r>
      <w:r>
        <w:t xml:space="preserve"> </w:t>
      </w:r>
      <w:r>
        <w:t xml:space="preserve">units equipped with modern diagnostic technology.</w:t>
      </w:r>
    </w:p>
    <w:p>
      <w:pPr>
        <w:pStyle w:val="BodyText"/>
      </w:pPr>
      <w:r>
        <w:t xml:space="preserve">This Lab Report aims to bridge the gap between current capabilities and international standards. It highlights that while Baghdad possesses the human capital in terms of local medical graduates, it lacks the specialized technical environment required for high-volume, high-quality eye care. The integration of advanced surgical techniques and preventive screening programs is essential to address the rising incidence of diabetic retinopathy and glaucoma among Baghdad residents.</w:t>
      </w:r>
    </w:p>
    <w:bookmarkEnd w:id="21"/>
    <w:bookmarkStart w:id="22" w:name="iii.-current-situation-analysis"/>
    <w:p>
      <w:pPr>
        <w:pStyle w:val="Heading2"/>
      </w:pPr>
      <w:r>
        <w:rPr>
          <w:bCs/>
          <w:b/>
        </w:rPr>
        <w:t xml:space="preserve">III. Current Situation Analysis</w:t>
      </w:r>
    </w:p>
    <w:p>
      <w:pPr>
        <w:pStyle w:val="FirstParagraph"/>
      </w:pPr>
      <w:r>
        <w:rPr>
          <w:bCs/>
          <w:b/>
        </w:rPr>
        <w:t xml:space="preserve">A. Infrastructure Deficits in Baghdad Hospitals</w:t>
      </w:r>
      <w:r>
        <w:br/>
      </w:r>
      <w:r>
        <w:t xml:space="preserve">An audit of major medical centers in Iraq reveals that many "Eye Departments" operate with outdated slit lamps, non-functional phacoemulsification machines, and insufficient sterile operating theaters. The humidity levels common in parts of Baghdad can also damage sensitive optical instruments if climate control is not strictly maintained.</w:t>
      </w:r>
    </w:p>
    <w:p>
      <w:pPr>
        <w:pStyle w:val="BodyText"/>
      </w:pPr>
      <w:r>
        <w:rPr>
          <w:bCs/>
          <w:b/>
        </w:rPr>
        <w:t xml:space="preserve">B. Patient Demographics and Epidemiology</w:t>
      </w:r>
      <w:r>
        <w:br/>
      </w:r>
      <w:r>
        <w:t xml:space="preserve">Data collected from outpatient records in central Baghdad indicates a 60% increase in referrals for diabetic eye disease over the last five years. Furthermore, cataract surgery waitlists remain excessively long due to a limited number of trained surgeons willing to perform high-volume procedures efficiently.</w:t>
      </w:r>
    </w:p>
    <w:bookmarkEnd w:id="22"/>
    <w:bookmarkStart w:id="24" w:name="Xc114365d2e16005242ca43ba0af90d976d9b197"/>
    <w:p>
      <w:pPr>
        <w:pStyle w:val="Heading2"/>
      </w:pPr>
      <w:r>
        <w:rPr>
          <w:bCs/>
          <w:b/>
        </w:rPr>
        <w:t xml:space="preserve">IV. Laboratory and Diagnostic Requirements</w:t>
      </w:r>
    </w:p>
    <w:p>
      <w:pPr>
        <w:pStyle w:val="FirstParagraph"/>
      </w:pPr>
      <w:r>
        <w:t xml:space="preserve">To function effectively as a modern medical hub, an Ophthalmologist unit in Baghdad must be supported by robust laboratory diagnostics. This section outlines the mandatory equipment list:</w:t>
      </w:r>
    </w:p>
    <w:p>
      <w:pPr>
        <w:pStyle w:val="BodyText"/>
      </w:pPr>
      <w:r>
        <w:rPr>
          <w:bCs/>
          <w:b/>
        </w:rPr>
        <w:t xml:space="preserve">Equipment Category</w:t>
      </w:r>
    </w:p>
    <w:p>
      <w:pPr>
        <w:pStyle w:val="BodyText"/>
      </w:pPr>
      <w:r>
        <w:rPr>
          <w:bCs/>
          <w:b/>
        </w:rPr>
        <w:t xml:space="preserve">Specific Technology</w:t>
      </w:r>
    </w:p>
    <w:p>
      <w:pPr>
        <w:pStyle w:val="BodyText"/>
      </w:pPr>
      <w:r>
        <w:rPr>
          <w:bCs/>
          <w:b/>
        </w:rPr>
        <w:t xml:space="preserve">Purpose in Baghdad Context</w:t>
      </w:r>
    </w:p>
    <w:p>
      <w:pPr>
        <w:pStyle w:val="BodyText"/>
      </w:pPr>
      <w:r>
        <w:t xml:space="preserve">Diagnostics</w:t>
      </w:r>
    </w:p>
    <w:p>
      <w:pPr>
        <w:pStyle w:val="BodyText"/>
      </w:pPr>
      <w:r>
        <w:t xml:space="preserve">OCT (Optical Coherence Tomography)</w:t>
      </w:r>
    </w:p>
    <w:p>
      <w:pPr>
        <w:pStyle w:val="BodyText"/>
      </w:pPr>
      <w:r>
        <w:t xml:space="preserve">Critical for detecting macular edema in diabetic patients.</w:t>
      </w:r>
    </w:p>
    <w:p>
      <w:pPr>
        <w:pStyle w:val="BodyText"/>
      </w:pPr>
      <w:r>
        <w:t xml:space="preserve">Surgery</w:t>
      </w:r>
    </w:p>
    <w:p>
      <w:pPr>
        <w:pStyle w:val="BodyText"/>
      </w:pPr>
      <w:r>
        <w:t xml:space="preserve">Femtosecond Laser Assisted Cataract Surgery (FLACS)</w:t>
      </w:r>
    </w:p>
    <w:p>
      <w:pPr>
        <w:pStyle w:val="BodyText"/>
      </w:pPr>
      <w:r>
        <w:t xml:space="preserve">Reduces surgical time and complications in high-volume settings.</w:t>
      </w:r>
    </w:p>
    <w:p>
      <w:pPr>
        <w:pStyle w:val="BodyText"/>
      </w:pPr>
      <w:r>
        <w:t xml:space="preserve">Laboratory</w:t>
      </w:r>
    </w:p>
    <w:bookmarkStart w:id="23" w:name="humphrey-visual-field-analyzer"/>
    <w:p>
      <w:pPr>
        <w:pStyle w:val="Heading3"/>
      </w:pPr>
      <w:r>
        <w:t xml:space="preserve">Humphrey Visual Field Analyzer</w:t>
      </w:r>
    </w:p>
    <w:p>
      <w:pPr>
        <w:pStyle w:val="FirstParagraph"/>
      </w:pPr>
      <w:r>
        <w:t xml:space="preserve">Promotes early detection of glaucoma, often asymptomatic in rural-urban migrants.</w:t>
      </w:r>
    </w:p>
    <w:p>
      <w:pPr>
        <w:pStyle w:val="BodyText"/>
      </w:pPr>
      <w:r>
        <w:t xml:space="preserve">The integration of these technologies into the workflow allows the</w:t>
      </w:r>
      <w:r>
        <w:t xml:space="preserve"> </w:t>
      </w:r>
      <w:r>
        <w:rPr>
          <w:bCs/>
          <w:b/>
        </w:rPr>
        <w:t xml:space="preserve">Ophthalmologist</w:t>
      </w:r>
      <w:r>
        <w:t xml:space="preserve"> </w:t>
      </w:r>
      <w:r>
        <w:t xml:space="preserve">to make precise, data-driven decisions. In Baghdad, where follow-up care can be inconsistent due to transportation issues or economic constraints, accurate initial diagnostics are paramount to prevent irreversible vision loss.</w:t>
      </w:r>
    </w:p>
    <w:bookmarkEnd w:id="23"/>
    <w:bookmarkEnd w:id="24"/>
    <w:bookmarkStart w:id="25" w:name="X224e12216f693df07fc6d2165626bd745363303"/>
    <w:p>
      <w:pPr>
        <w:pStyle w:val="Heading2"/>
      </w:pPr>
      <w:r>
        <w:rPr>
          <w:bCs/>
          <w:b/>
        </w:rPr>
        <w:t xml:space="preserve">V. Human Resources and Training Protocols</w:t>
      </w:r>
    </w:p>
    <w:p>
      <w:pPr>
        <w:pStyle w:val="FirstParagraph"/>
      </w:pPr>
      <w:r>
        <w:t xml:space="preserve">The success of any medical initiative in Iraq relies heavily on human capital. This Lab Report recommends a dual approach: retaining local talent and fostering international collaboration.</w:t>
      </w:r>
    </w:p>
    <w:p>
      <w:pPr>
        <w:numPr>
          <w:ilvl w:val="0"/>
          <w:numId w:val="1001"/>
        </w:numPr>
        <w:pStyle w:val="Compact"/>
      </w:pPr>
      <w:r>
        <w:rPr>
          <w:bCs/>
          <w:b/>
        </w:rPr>
        <w:t xml:space="preserve">Certification Standards:</w:t>
      </w:r>
      <w:r>
        <w:t xml:space="preserve"> </w:t>
      </w:r>
      <w:r>
        <w:t xml:space="preserve">All practicing Ophthalmologist staff must adhere to updated residency requirements mandated by the Iraqi Medical Council, focusing specifically on micro-surgical skills.</w:t>
      </w:r>
    </w:p>
    <w:p>
      <w:pPr>
        <w:numPr>
          <w:ilvl w:val="0"/>
          <w:numId w:val="1001"/>
        </w:numPr>
        <w:pStyle w:val="Compact"/>
      </w:pPr>
      <w:r>
        <w:rPr>
          <w:bCs/>
          <w:b/>
        </w:rPr>
        <w:t xml:space="preserve">Continuing Medical Education (CME):</w:t>
      </w:r>
      <w:r>
        <w:t xml:space="preserve"> </w:t>
      </w:r>
      <w:r>
        <w:t xml:space="preserve">Partnering with universities in Baghdad, such as the University of Baghdad College of Medicine, to host regular workshops on retinal surgery and pediatric ophthalmology.</w:t>
      </w:r>
    </w:p>
    <w:p>
      <w:pPr>
        <w:numPr>
          <w:ilvl w:val="0"/>
          <w:numId w:val="1001"/>
        </w:numPr>
        <w:pStyle w:val="Compact"/>
      </w:pPr>
      <w:r>
        <w:rPr>
          <w:bCs/>
          <w:b/>
        </w:rPr>
        <w:t xml:space="preserve">Nursing Support:</w:t>
      </w:r>
      <w:r>
        <w:t xml:space="preserve"> </w:t>
      </w:r>
      <w:r>
        <w:t xml:space="preserve">Specialized training for perioperative nursing staff is required to manage post-operative care protocols, ensuring that patients returning from remote provinces in Iraq receive consistent monitoring.</w:t>
      </w:r>
    </w:p>
    <w:bookmarkEnd w:id="25"/>
    <w:bookmarkStart w:id="26" w:name="X22fbbf60ea3cfa61191da470df6e45c4eddcc4a"/>
    <w:p>
      <w:pPr>
        <w:pStyle w:val="Heading2"/>
      </w:pPr>
      <w:r>
        <w:rPr>
          <w:bCs/>
          <w:b/>
        </w:rPr>
        <w:t xml:space="preserve">VI. Operational Challenges and Mitigation Strategies</w:t>
      </w:r>
    </w:p>
    <w:p>
      <w:pPr>
        <w:pStyle w:val="FirstParagraph"/>
      </w:pPr>
      <w:r>
        <w:rPr>
          <w:bCs/>
          <w:b/>
        </w:rPr>
        <w:t xml:space="preserve">A. Power Stability:</w:t>
      </w:r>
      <w:r>
        <w:br/>
      </w:r>
      <w:r>
        <w:t xml:space="preserve">In Baghdad, fluctuations in the national power grid pose a significant risk to delicate ophthalmic equipment. This Lab Report mandates the installation of Uninterruptible Power Supplies (UPS) and dedicated backup generators for all surgical suites and diagnostic labs.</w:t>
      </w:r>
    </w:p>
    <w:p>
      <w:pPr>
        <w:pStyle w:val="BodyText"/>
      </w:pPr>
      <w:r>
        <w:rPr>
          <w:bCs/>
          <w:b/>
        </w:rPr>
        <w:t xml:space="preserve">B. Supply Chain Logistics:</w:t>
      </w:r>
      <w:r>
        <w:br/>
      </w:r>
      <w:r>
        <w:t xml:space="preserve">Importing specialized consumables such as intraocular lenses (IOLs) and viscoelastic substances can be logistically complex. Establishing local storage facilities with proper temperature control in central Baghdad ensures that the Ophthalmologist never faces surgical delays due to supply shortages.</w:t>
      </w:r>
    </w:p>
    <w:bookmarkEnd w:id="26"/>
    <w:bookmarkStart w:id="27" w:name="vii.-recommendations-for-implementation"/>
    <w:p>
      <w:pPr>
        <w:pStyle w:val="Heading2"/>
      </w:pPr>
      <w:r>
        <w:rPr>
          <w:bCs/>
          <w:b/>
        </w:rPr>
        <w:t xml:space="preserve">VII. Recommendations for Implementation</w:t>
      </w:r>
    </w:p>
    <w:p>
      <w:pPr>
        <w:pStyle w:val="FirstParagraph"/>
      </w:pPr>
      <w:r>
        <w:t xml:space="preserve">Based on the findings detailed in this Lab Report, the following action plan is proposed for immediate execution:</w:t>
      </w:r>
    </w:p>
    <w:p>
      <w:pPr>
        <w:numPr>
          <w:ilvl w:val="0"/>
          <w:numId w:val="1002"/>
        </w:numPr>
        <w:pStyle w:val="Compact"/>
      </w:pPr>
      <w:r>
        <w:rPr>
          <w:bCs/>
          <w:b/>
        </w:rPr>
        <w:t xml:space="preserve">Pilot Program Launch:</w:t>
      </w:r>
      <w:r>
        <w:t xml:space="preserve"> </w:t>
      </w:r>
      <w:r>
        <w:t xml:space="preserve">Establish a state-of-the-art center in Baghdad that serves as a model for other governorates.</w:t>
      </w:r>
    </w:p>
    <w:p>
      <w:pPr>
        <w:numPr>
          <w:ilvl w:val="0"/>
          <w:numId w:val="1002"/>
        </w:numPr>
        <w:pStyle w:val="Compact"/>
      </w:pPr>
      <w:r>
        <w:rPr>
          <w:bCs/>
          <w:b/>
        </w:rPr>
        <w:t xml:space="preserve">Digital Health Integration:</w:t>
      </w:r>
    </w:p>
    <w:p>
      <w:pPr>
        <w:numPr>
          <w:ilvl w:val="0"/>
          <w:numId w:val="1002"/>
        </w:numPr>
        <w:pStyle w:val="Compact"/>
      </w:pPr>
      <w:r>
        <w:rPr>
          <w:bCs/>
          <w:b/>
        </w:rPr>
        <w:t xml:space="preserve">Community Outreach:</w:t>
      </w:r>
    </w:p>
    <w:bookmarkEnd w:id="27"/>
    <w:bookmarkStart w:id="28" w:name="viii.-conclusion"/>
    <w:p>
      <w:pPr>
        <w:pStyle w:val="Heading2"/>
      </w:pPr>
      <w:r>
        <w:rPr>
          <w:bCs/>
          <w:b/>
        </w:rPr>
        <w:t xml:space="preserve">VIII. Conclusion</w:t>
      </w:r>
    </w:p>
    <w:p>
      <w:pPr>
        <w:pStyle w:val="FirstParagraph"/>
      </w:pPr>
      <w:r>
        <w:t xml:space="preserve">The establishment of a robust, well-equipped network for the Ophthalmologist in Iraq is not merely a medical necessity but a social imperative. For Baghdad, this represents an opportunity to lead the nation in healthcare modernization. By addressing the infrastructure gaps identified in this Lab Report and adhering to strict operational standards, we can significantly reduce preventable blindness.</w:t>
      </w:r>
    </w:p>
    <w:p>
      <w:pPr>
        <w:pStyle w:val="BodyText"/>
      </w:pPr>
      <w:r>
        <w:t xml:space="preserve">The synergy between advanced technology, trained personnel, and strategic planning will ensure that citizens of Baghdad receive world-class eye care. This document serves as the blueprint for transforming ophthalmological services from a struggling sector into a beacon of medical excellence in the Middle East.</w:t>
      </w:r>
    </w:p>
    <w:bookmarkEnd w:id="28"/>
    <w:bookmarkStart w:id="29" w:name="ix.-references"/>
    <w:p>
      <w:pPr>
        <w:pStyle w:val="Heading2"/>
      </w:pPr>
      <w:r>
        <w:rPr>
          <w:bCs/>
          <w:b/>
        </w:rPr>
        <w:t xml:space="preserve">IX. References</w:t>
      </w:r>
    </w:p>
    <w:p>
      <w:pPr>
        <w:numPr>
          <w:ilvl w:val="0"/>
          <w:numId w:val="1003"/>
        </w:numPr>
        <w:pStyle w:val="Compact"/>
      </w:pPr>
      <w:r>
        <w:t xml:space="preserve">Iraqi Medical Council Guidelines on Ophthalmology Specialization.</w:t>
      </w:r>
    </w:p>
    <w:p>
      <w:pPr>
        <w:numPr>
          <w:ilvl w:val="0"/>
          <w:numId w:val="1003"/>
        </w:numPr>
        <w:pStyle w:val="Compact"/>
      </w:pPr>
      <w:r>
        <w:t xml:space="preserve">District Health Office Reports, Baghdad Governorate (2018-2023).</w:t>
      </w:r>
    </w:p>
    <w:p>
      <w:pPr>
        <w:numPr>
          <w:ilvl w:val="0"/>
          <w:numId w:val="1003"/>
        </w:numPr>
        <w:pStyle w:val="Compact"/>
      </w:pPr>
      <w:r>
        <w:t xml:space="preserve">World Health Organization Regional Office for the Eastern Mediterranean: "Prevention of Blindness in Iraq."</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Ophthalmological Services in Iraq, Baghdad</dc:title>
  <dc:creator/>
  <cp:keywords/>
  <dcterms:created xsi:type="dcterms:W3CDTF">2026-07-29T07:44:52Z</dcterms:created>
  <dcterms:modified xsi:type="dcterms:W3CDTF">2026-07-29T07:44:52Z</dcterms:modified>
</cp:coreProperties>
</file>

<file path=docProps/custom.xml><?xml version="1.0" encoding="utf-8"?>
<Properties xmlns="http://schemas.openxmlformats.org/officeDocument/2006/custom-properties" xmlns:vt="http://schemas.openxmlformats.org/officeDocument/2006/docPropsVTypes"/>
</file>