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Ophthalmological</w:t>
      </w:r>
      <w:r>
        <w:t xml:space="preserve"> </w:t>
      </w:r>
      <w:r>
        <w:t xml:space="preserve">Clinical</w:t>
      </w:r>
      <w:r>
        <w:t xml:space="preserve"> </w:t>
      </w:r>
      <w:r>
        <w:t xml:space="preserve">Lab</w:t>
      </w:r>
      <w:r>
        <w:t xml:space="preserve"> </w:t>
      </w:r>
      <w:r>
        <w:t xml:space="preserve">Report:</w:t>
      </w:r>
      <w:r>
        <w:t xml:space="preserve"> </w:t>
      </w:r>
      <w:r>
        <w:t xml:space="preserve">Naples,</w:t>
      </w:r>
      <w:r>
        <w:t xml:space="preserve"> </w:t>
      </w:r>
      <w:r>
        <w:t xml:space="preserve">Italy</w:t>
      </w:r>
    </w:p>
    <w:bookmarkStart w:id="20" w:name="X5b9c80d3a075cf5688c53b8b23b723e03b7b745"/>
    <w:p>
      <w:pPr>
        <w:pStyle w:val="Heading1"/>
      </w:pPr>
      <w:r>
        <w:t xml:space="preserve">Ophthalmological Clinical Lab Report &amp; Diagnostic Assessment</w:t>
      </w:r>
    </w:p>
    <w:p>
      <w:pPr>
        <w:pStyle w:val="FirstParagraph"/>
      </w:pPr>
      <w:r>
        <w:rPr>
          <w:bCs/>
          <w:b/>
        </w:rPr>
        <w:t xml:space="preserve">Institution:</w:t>
      </w:r>
      <w:r>
        <w:t xml:space="preserve"> </w:t>
      </w:r>
      <w:r>
        <w:t xml:space="preserve">Centro Oftalmologico Avanzato di Napoli (Advanced Ophthalmology Center of Naples)</w:t>
      </w:r>
    </w:p>
    <w:p>
      <w:pPr>
        <w:pStyle w:val="BodyText"/>
      </w:pPr>
      <w:r>
        <w:rPr>
          <w:bCs/>
          <w:b/>
        </w:rPr>
        <w:t xml:space="preserve">Jurisdiction:</w:t>
      </w:r>
      <w:r>
        <w:t xml:space="preserve"> </w:t>
      </w:r>
      <w:r>
        <w:t xml:space="preserve">Italy, Campania Region, Naples Metropolitan Area</w:t>
      </w:r>
    </w:p>
    <w:p>
      <w:pPr>
        <w:pStyle w:val="BodyText"/>
      </w:pPr>
      <w:r>
        <w:rPr>
          <w:bCs/>
          <w:b/>
        </w:rPr>
        <w:t xml:space="preserve">Date of Report:</w:t>
      </w:r>
      <w:r>
        <w:t xml:space="preserve"> </w:t>
      </w:r>
      <w:r>
        <w:t xml:space="preserve">October 24, 2023</w:t>
      </w:r>
    </w:p>
    <w:p>
      <w:pPr>
        <w:pStyle w:val="BodyText"/>
      </w:pPr>
      <w:r>
        <w:rPr>
          <w:bCs/>
          <w:b/>
        </w:rPr>
        <w:t xml:space="preserve">Patient ID:</w:t>
      </w:r>
      <w:r>
        <w:t xml:space="preserve"> </w:t>
      </w:r>
      <w:r>
        <w:t xml:space="preserve">NAP-OPS-8942-XI (Anonymized for Privacy Compliance under GDPR)</w:t>
      </w:r>
    </w:p>
    <w:bookmarkEnd w:id="20"/>
    <w:bookmarkStart w:id="21" w:name="X9356654b006a6f530e0ed093b644de6110bc534"/>
    <w:p>
      <w:pPr>
        <w:pStyle w:val="Heading2"/>
      </w:pPr>
      <w:r>
        <w:t xml:space="preserve">1. Executive Summary and Introduction to the Naples Ophthalmologist Protocol</w:t>
      </w:r>
    </w:p>
    <w:p>
      <w:pPr>
        <w:pStyle w:val="FirstParagraph"/>
      </w:pPr>
      <w:r>
        <w:t xml:space="preserve">This comprehensive laboratory and clinical report details the ophthalmological evaluation conducted within the healthcare framework of Italy Naples. The purpose of this document is to outline the diagnostic procedures, clinical findings, and therapeutic recommendations associated with a complex case managed by our specialized</w:t>
      </w:r>
      <w:r>
        <w:t xml:space="preserve"> </w:t>
      </w:r>
      <w:r>
        <w:rPr>
          <w:bCs/>
          <w:b/>
        </w:rPr>
        <w:t xml:space="preserve">Ophthalmologist</w:t>
      </w:r>
      <w:r>
        <w:t xml:space="preserve"> </w:t>
      </w:r>
      <w:r>
        <w:t xml:space="preserve">team. As a major medical hub in Southern Europe, Naples serves as a critical center for advanced ocular research and patient care, integrating traditional Italian medical standards with cutting-edge European Union health regulations.</w:t>
      </w:r>
    </w:p>
    <w:p>
      <w:pPr>
        <w:pStyle w:val="BodyText"/>
      </w:pPr>
      <w:r>
        <w:t xml:space="preserve">The role of the</w:t>
      </w:r>
      <w:r>
        <w:t xml:space="preserve"> </w:t>
      </w:r>
      <w:r>
        <w:rPr>
          <w:bCs/>
          <w:b/>
        </w:rPr>
        <w:t xml:space="preserve">Ophthalmologist</w:t>
      </w:r>
      <w:r>
        <w:t xml:space="preserve"> </w:t>
      </w:r>
      <w:r>
        <w:t xml:space="preserve">in this setting extends beyond standard vision correction. In Italy Naples, the integration of geriatric eye care, given the region's demographic profile, is paramount. This report highlights how local protocols address age-related macular degeneration (AMD), glaucoma management, and diabetic retinopathy screening with precision.</w:t>
      </w:r>
    </w:p>
    <w:bookmarkEnd w:id="21"/>
    <w:bookmarkStart w:id="22" w:name="patient-demographics-and-anamnesis"/>
    <w:p>
      <w:pPr>
        <w:pStyle w:val="Heading2"/>
      </w:pPr>
      <w:r>
        <w:t xml:space="preserve">2. Patient Demographics and Anamnesis</w:t>
      </w:r>
    </w:p>
    <w:p>
      <w:pPr>
        <w:pStyle w:val="FirstParagraph"/>
      </w:pPr>
      <w:r>
        <w:t xml:space="preserve">The subject of this</w:t>
      </w:r>
      <w:r>
        <w:t xml:space="preserve"> </w:t>
      </w:r>
      <w:r>
        <w:rPr>
          <w:bCs/>
          <w:b/>
        </w:rPr>
        <w:t xml:space="preserve">Lab Report</w:t>
      </w:r>
      <w:r>
        <w:t xml:space="preserve"> </w:t>
      </w:r>
      <w:r>
        <w:t xml:space="preserve">is a 68-year-old male resident of the historic center of Italy Naples. The patient presented with progressive visual deterioration, characterized by blurred central vision and difficulty adapting to low-light conditions common in the evening hours within the narrow streets of the Neapolitan districts.</w:t>
      </w:r>
    </w:p>
    <w:p>
      <w:pPr>
        <w:pStyle w:val="BodyText"/>
      </w:pPr>
      <w:r>
        <w:t xml:space="preserve">Metric</w:t>
      </w:r>
    </w:p>
    <w:p>
      <w:pPr>
        <w:pStyle w:val="BodyText"/>
      </w:pPr>
      <w:r>
        <w:t xml:space="preserve">Data Point</w:t>
      </w:r>
    </w:p>
    <w:p>
      <w:pPr>
        <w:pStyle w:val="BodyText"/>
      </w:pPr>
      <w:r>
        <w:t xml:space="preserve">Patient Age</w:t>
      </w:r>
    </w:p>
    <w:p>
      <w:pPr>
        <w:pStyle w:val="BodyText"/>
      </w:pPr>
      <w:r>
        <w:t xml:space="preserve">68 Years</w:t>
      </w:r>
    </w:p>
    <w:p>
      <w:pPr>
        <w:pStyle w:val="BodyText"/>
      </w:pPr>
      <w:r>
        <w:br/>
      </w:r>
      <w:r>
        <w:t xml:space="preserve">Male</w:t>
      </w:r>
      <w:r>
        <w:br/>
      </w:r>
      <w:r>
        <w:t xml:space="preserve">Non-smoker (history of 10 years, ceased in 2015)</w:t>
      </w:r>
    </w:p>
    <w:p>
      <w:pPr>
        <w:pStyle w:val="BodyText"/>
      </w:pPr>
      <w:r>
        <w:br/>
      </w:r>
      <w:r>
        <w:t xml:space="preserve">Systemic Hypertension (controlled via ACE inhibitors)</w:t>
      </w:r>
      <w:r>
        <w:br/>
      </w:r>
    </w:p>
    <w:p>
      <w:pPr>
        <w:pStyle w:val="BodyText"/>
      </w:pPr>
      <w:r>
        <w:t xml:space="preserve">Past Ocular History</w:t>
      </w:r>
    </w:p>
    <w:p>
      <w:pPr>
        <w:pStyle w:val="BodyText"/>
      </w:pPr>
      <w:r>
        <w:t xml:space="preserve">Mild cataract formation diagnosed five years prior; no prior laser surgery.</w:t>
      </w:r>
    </w:p>
    <w:p>
      <w:pPr>
        <w:pStyle w:val="BodyText"/>
      </w:pPr>
      <w:r>
        <w:br/>
      </w:r>
      <w:r>
        <w:t xml:space="preserve">Family history of Glaucoma in maternal line.</w:t>
      </w:r>
    </w:p>
    <w:bookmarkEnd w:id="22"/>
    <w:bookmarkStart w:id="27" w:name="X5d38f97354b70c635e178094a14374d2f62b517"/>
    <w:p>
      <w:pPr>
        <w:pStyle w:val="Heading2"/>
      </w:pPr>
      <w:r>
        <w:t xml:space="preserve">3. Methodology: Diagnostic Procedures and Lab Tests</w:t>
      </w:r>
    </w:p>
    <w:p>
      <w:pPr>
        <w:pStyle w:val="FirstParagraph"/>
      </w:pPr>
      <w:r>
        <w:t xml:space="preserve">To ensure a thorough evaluation, the attending</w:t>
      </w:r>
      <w:r>
        <w:t xml:space="preserve"> </w:t>
      </w:r>
      <w:r>
        <w:rPr>
          <w:bCs/>
          <w:b/>
        </w:rPr>
        <w:t xml:space="preserve">Ophthalmologist</w:t>
      </w:r>
      <w:r>
        <w:t xml:space="preserve"> </w:t>
      </w:r>
      <w:r>
        <w:t xml:space="preserve">employed a multi-modal diagnostic approach. The protocols utilized here adhere strictly to the guidelines set forth by the Italian Ophthalmological Society (Società Oftalmologica Italiana), tailored specifically for patient populations in Italy Naples.</w:t>
      </w:r>
    </w:p>
    <w:bookmarkStart w:id="23" w:name="visual-acuity-and-refraction-analysis"/>
    <w:p>
      <w:pPr>
        <w:pStyle w:val="Heading3"/>
      </w:pPr>
      <w:r>
        <w:t xml:space="preserve">3.1 Visual Acuity and Refraction Analysis</w:t>
      </w:r>
    </w:p>
    <w:p>
      <w:pPr>
        <w:pStyle w:val="FirstParagraph"/>
      </w:pPr>
      <w:r>
        <w:t xml:space="preserve">The initial phase involved best-corrected visual acuity (BCVA) testing using the Snellen chart. The results indicated a significant decline in central vision, necessitating further structural analysis of the retina.</w:t>
      </w:r>
    </w:p>
    <w:bookmarkEnd w:id="23"/>
    <w:bookmarkStart w:id="24" w:name="optical-coherence-tomography-oct"/>
    <w:p>
      <w:pPr>
        <w:pStyle w:val="Heading3"/>
      </w:pPr>
      <w:r>
        <w:t xml:space="preserve">3.2 Optical Coherence Tomography (OCT)</w:t>
      </w:r>
    </w:p>
    <w:p>
      <w:pPr>
        <w:pStyle w:val="FirstParagraph"/>
      </w:pPr>
      <w:r>
        <w:t xml:space="preserve">OCT imaging was performed to obtain cross-sectional images of the retina. This non-invasive laboratory test is crucial for identifying macular edema or drusen deposits. In the context of Italy Naples, where environmental factors such as humidity and urban pollution can exacerbate ocular surface diseases, OCT allows for precise layer-by-layer analysis.</w:t>
      </w:r>
    </w:p>
    <w:bookmarkEnd w:id="24"/>
    <w:bookmarkStart w:id="25" w:name="tonometry-and-gonioscopy"/>
    <w:p>
      <w:pPr>
        <w:pStyle w:val="Heading3"/>
      </w:pPr>
      <w:r>
        <w:t xml:space="preserve">3.3 Tonometry and Gonioscopy</w:t>
      </w:r>
    </w:p>
    <w:p>
      <w:pPr>
        <w:pStyle w:val="FirstParagraph"/>
      </w:pPr>
      <w:r>
        <w:t xml:space="preserve">Intraocular pressure (IOP) was measured using Goldmann applanation tonometry. Additionally, gonioscopy was conducted to evaluate the drainage angle of the eye. This is a critical step for any</w:t>
      </w:r>
      <w:r>
        <w:t xml:space="preserve"> </w:t>
      </w:r>
      <w:r>
        <w:rPr>
          <w:bCs/>
          <w:b/>
        </w:rPr>
        <w:t xml:space="preserve">Ophthalmologist</w:t>
      </w:r>
      <w:r>
        <w:t xml:space="preserve"> </w:t>
      </w:r>
      <w:r>
        <w:t xml:space="preserve">working in regions with high prevalence of primary open-angle glaucoma.</w:t>
      </w:r>
    </w:p>
    <w:bookmarkEnd w:id="25"/>
    <w:bookmarkStart w:id="26" w:name="X218a841695880aa871eb05a110424a8b2c72161"/>
    <w:p>
      <w:pPr>
        <w:pStyle w:val="Heading3"/>
      </w:pPr>
      <w:r>
        <w:t xml:space="preserve">3.4 Fundus Photography and Fluorescein Angiography</w:t>
      </w:r>
    </w:p>
    <w:p>
      <w:pPr>
        <w:pStyle w:val="FirstParagraph"/>
      </w:pPr>
      <w:r>
        <w:t xml:space="preserve">Digital fundus photography was utilized to document the overall health of the retina. In cases where leakage was suspected, fluorescein angiography was administered to map blood flow within the retinal vessels.</w:t>
      </w:r>
    </w:p>
    <w:bookmarkEnd w:id="26"/>
    <w:bookmarkEnd w:id="27"/>
    <w:bookmarkStart w:id="28" w:name="clinical-findings-and-laboratory-results"/>
    <w:p>
      <w:pPr>
        <w:pStyle w:val="Heading2"/>
      </w:pPr>
      <w:r>
        <w:t xml:space="preserve">4. Clinical Findings and Laboratory Results</w:t>
      </w:r>
    </w:p>
    <w:p>
      <w:pPr>
        <w:pStyle w:val="FirstParagraph"/>
      </w:pPr>
      <w:r>
        <w:t xml:space="preserve">The data collected during this assessment reveals several significant findings that require immediate attention from the specialist team in Italy Naples.</w:t>
      </w:r>
    </w:p>
    <w:p>
      <w:pPr>
        <w:numPr>
          <w:ilvl w:val="0"/>
          <w:numId w:val="1001"/>
        </w:numPr>
        <w:pStyle w:val="Compact"/>
      </w:pPr>
      <w:r>
        <w:rPr>
          <w:bCs/>
          <w:b/>
        </w:rPr>
        <w:t xml:space="preserve">Intraocular Pressure (IOP):</w:t>
      </w:r>
      <w:r>
        <w:t xml:space="preserve"> </w:t>
      </w:r>
      <w:r>
        <w:t xml:space="preserve">The right eye registered an IOP of 24 mmHg, while the left eye measured 26 mmHg. Both values exceed the normal range (10-21 mmHg), indicating elevated ocular hypertension.</w:t>
      </w:r>
    </w:p>
    <w:p>
      <w:pPr>
        <w:numPr>
          <w:ilvl w:val="0"/>
          <w:numId w:val="1001"/>
        </w:numPr>
        <w:pStyle w:val="Compact"/>
      </w:pPr>
      <w:r>
        <w:rPr>
          <w:bCs/>
          <w:b/>
        </w:rPr>
        <w:t xml:space="preserve">Fundus Examination:</w:t>
      </w:r>
      <w:r>
        <w:t xml:space="preserve"> </w:t>
      </w:r>
      <w:r>
        <w:t xml:space="preserve">The optic discs showed noticeable cupping with a vertical cup-to-disc ratio of 0.7 in the right eye and 0.65 in the left eye. This is a hallmark sign of glaucomatous damage.</w:t>
      </w:r>
    </w:p>
    <w:p>
      <w:pPr>
        <w:numPr>
          <w:ilvl w:val="0"/>
          <w:numId w:val="1001"/>
        </w:numPr>
        <w:pStyle w:val="Compact"/>
      </w:pPr>
      <w:r>
        <w:rPr>
          <w:bCs/>
          <w:b/>
        </w:rPr>
        <w:t xml:space="preserve">OCT Results:</w:t>
      </w:r>
      <w:r>
        <w:t xml:space="preserve"> </w:t>
      </w:r>
      <w:r>
        <w:t xml:space="preserve">Thinning of the retinal nerve fiber layer (RNFL) was observed, particularly in the superior and inferior sectors. This correlates with potential visual field defects.</w:t>
      </w:r>
    </w:p>
    <w:p>
      <w:pPr>
        <w:numPr>
          <w:ilvl w:val="0"/>
          <w:numId w:val="1001"/>
        </w:numPr>
        <w:pStyle w:val="Compact"/>
      </w:pPr>
      <w:r>
        <w:rPr>
          <w:bCs/>
          <w:b/>
        </w:rPr>
        <w:t xml:space="preserve">Dry Eye Assessment:</w:t>
      </w:r>
      <w:r>
        <w:t xml:space="preserve"> </w:t>
      </w:r>
      <w:r>
        <w:t xml:space="preserve">Schirmer’s test indicated reduced tear production, a common comorbidity in elderly patients in Italy Naples due to environmental exposure and age-related lacrimal gland atrophy.</w:t>
      </w:r>
    </w:p>
    <w:bookmarkEnd w:id="28"/>
    <w:bookmarkStart w:id="29" w:name="diagnosis"/>
    <w:p>
      <w:pPr>
        <w:pStyle w:val="Heading2"/>
      </w:pPr>
      <w:r>
        <w:t xml:space="preserve">5. Diagnosis</w:t>
      </w:r>
    </w:p>
    <w:p>
      <w:pPr>
        <w:pStyle w:val="FirstParagraph"/>
      </w:pPr>
      <w:r>
        <w:t xml:space="preserve">Based on the comprehensive analysis provided by the</w:t>
      </w:r>
      <w:r>
        <w:t xml:space="preserve"> </w:t>
      </w:r>
      <w:r>
        <w:rPr>
          <w:bCs/>
          <w:b/>
        </w:rPr>
        <w:t xml:space="preserve">Ophthalmologist</w:t>
      </w:r>
      <w:r>
        <w:t xml:space="preserve">, the following diagnoses were established:</w:t>
      </w:r>
    </w:p>
    <w:p>
      <w:pPr>
        <w:pStyle w:val="BodyText"/>
      </w:pPr>
      <w:r>
        <w:t xml:space="preserve">1. Primary Open-Angle Glaucoma (POAG), Bilateral, Moderate Stage.</w:t>
      </w:r>
      <w:r>
        <w:br/>
      </w:r>
      <w:r>
        <w:t xml:space="preserve">2. Dry Eye Syndrome (Keratoconjunctivitis Sicca), Mild to Moderate.</w:t>
      </w:r>
      <w:r>
        <w:br/>
      </w:r>
      <w:r>
        <w:t xml:space="preserve">3. Early Nuclear Sclerotic Cataract, Bilateral.</w:t>
      </w:r>
      <w:r>
        <w:br/>
      </w:r>
    </w:p>
    <w:bookmarkEnd w:id="29"/>
    <w:bookmarkStart w:id="33" w:name="Xb7c4cd2e185809d227921e1b70be606bba11800"/>
    <w:p>
      <w:pPr>
        <w:pStyle w:val="Heading2"/>
      </w:pPr>
      <w:r>
        <w:t xml:space="preserve">6. Therapeutic Recommendations and Management Plan</w:t>
      </w:r>
    </w:p>
    <w:p>
      <w:pPr>
        <w:pStyle w:val="FirstParagraph"/>
      </w:pPr>
      <w:r>
        <w:t xml:space="preserve">The management strategy for this patient reflects the standard of care in Italy Naples, focusing on preserving existing vision and preventing further optic nerve damage. The plan is divided into pharmacological, surgical, and lifestyle components.</w:t>
      </w:r>
    </w:p>
    <w:bookmarkStart w:id="30" w:name="pharmacological-intervention"/>
    <w:p>
      <w:pPr>
        <w:pStyle w:val="Heading3"/>
      </w:pPr>
      <w:r>
        <w:t xml:space="preserve">6.1 Pharmacological Intervention</w:t>
      </w:r>
    </w:p>
    <w:p>
      <w:pPr>
        <w:pStyle w:val="FirstParagraph"/>
      </w:pPr>
      <w:r>
        <w:t xml:space="preserve">To lower intraocular pressure, the patient has been prescribed topical prostaglandin analogs (e.g., Latanoprost 0.005% solution), one drop in each eye every evening at bedtime. This medication is effective in increasing the outflow of aqueous humor, thereby reducing IOP.</w:t>
      </w:r>
    </w:p>
    <w:bookmarkEnd w:id="30"/>
    <w:bookmarkStart w:id="31" w:name="surgical-consideration"/>
    <w:p>
      <w:pPr>
        <w:pStyle w:val="Heading3"/>
      </w:pPr>
      <w:r>
        <w:t xml:space="preserve">6.2 Surgical Consideration</w:t>
      </w:r>
    </w:p>
    <w:p>
      <w:pPr>
        <w:pStyle w:val="FirstParagraph"/>
      </w:pPr>
      <w:r>
        <w:t xml:space="preserve">If the IOP remains uncontrolled with maximal medical therapy after three months of follow-up, the attending</w:t>
      </w:r>
      <w:r>
        <w:t xml:space="preserve"> </w:t>
      </w:r>
      <w:r>
        <w:rPr>
          <w:bCs/>
          <w:b/>
        </w:rPr>
        <w:t xml:space="preserve">Ophthalmologist</w:t>
      </w:r>
      <w:r>
        <w:t xml:space="preserve"> </w:t>
      </w:r>
      <w:r>
        <w:t xml:space="preserve">recommends Laser Trabeculoplasty. This minimally invasive procedure is increasingly available in specialized centers across Italy Naples and offers a non-drug alternative to lower pressure.</w:t>
      </w:r>
    </w:p>
    <w:bookmarkEnd w:id="31"/>
    <w:bookmarkStart w:id="32" w:name="lifestyle-and-environmental-adjustments"/>
    <w:p>
      <w:pPr>
        <w:pStyle w:val="Heading3"/>
      </w:pPr>
      <w:r>
        <w:t xml:space="preserve">6.3 Lifestyle and Environmental Adjustments</w:t>
      </w:r>
    </w:p>
    <w:p>
      <w:pPr>
        <w:pStyle w:val="FirstParagraph"/>
      </w:pPr>
      <w:r>
        <w:t xml:space="preserve">Patient education is a vital component of the</w:t>
      </w:r>
      <w:r>
        <w:t xml:space="preserve"> </w:t>
      </w:r>
      <w:r>
        <w:rPr>
          <w:bCs/>
          <w:b/>
        </w:rPr>
        <w:t xml:space="preserve">Lab Report</w:t>
      </w:r>
      <w:r>
        <w:t xml:space="preserve"> </w:t>
      </w:r>
      <w:r>
        <w:t xml:space="preserve">outcomes. Residents of Italy Naples are advised to:</w:t>
      </w:r>
    </w:p>
    <w:p>
      <w:pPr>
        <w:pStyle w:val="BodyText"/>
      </w:pPr>
      <w:r>
        <w:t xml:space="preserve">- Wear UV-protective sunglasses when outdoors, as sunlight intensity can be high during Mediterranean summers.</w:t>
      </w:r>
      <w:r>
        <w:br/>
      </w:r>
      <w:r>
        <w:t xml:space="preserve">2. Use preservative-free artificial tears four times daily to manage dry eye symptoms.</w:t>
      </w:r>
      <w:r>
        <w:br/>
      </w:r>
      <w:r>
        <w:t xml:space="preserve">3. Schedule regular follow-ups every three months initially, transitioning to every six months once stable.</w:t>
      </w:r>
      <w:r>
        <w:br/>
      </w:r>
    </w:p>
    <w:bookmarkEnd w:id="32"/>
    <w:bookmarkEnd w:id="33"/>
    <w:bookmarkStart w:id="34" w:name="conclusion-and-future-outlook"/>
    <w:p>
      <w:pPr>
        <w:pStyle w:val="Heading2"/>
      </w:pPr>
      <w:r>
        <w:t xml:space="preserve">7. Conclusion and Future Outlook</w:t>
      </w:r>
    </w:p>
    <w:p>
      <w:pPr>
        <w:pStyle w:val="FirstParagraph"/>
      </w:pPr>
      <w:r>
        <w:t xml:space="preserve">This document serves as a formal record of the ophthalmological assessment conducted for the patient under the care system of Italy Naples. The collaboration between advanced diagnostic technologies and expert clinical judgment by our team of</w:t>
      </w:r>
      <w:r>
        <w:t xml:space="preserve"> </w:t>
      </w:r>
      <w:r>
        <w:rPr>
          <w:bCs/>
          <w:b/>
        </w:rPr>
        <w:t xml:space="preserve">Ophthalmologist</w:t>
      </w:r>
      <w:r>
        <w:t xml:space="preserve"> </w:t>
      </w:r>
      <w:r>
        <w:t xml:space="preserve">specialists ensures that patients receive world-class eye care.</w:t>
      </w:r>
    </w:p>
    <w:p>
      <w:pPr>
        <w:pStyle w:val="BodyText"/>
      </w:pPr>
      <w:r>
        <w:t xml:space="preserve">The findings underscore the importance of early detection and continuous monitoring in chronic conditions like glaucoma. By adhering to rigorous laboratory standards and utilizing sophisticated imaging tools, the healthcare providers in Naples are able to deliver personalized care that respects both medical efficacy and patient quality of life. Future visits will focus on assessing response to medication and monitoring any progression of optic nerve damage.</w:t>
      </w:r>
    </w:p>
    <w:p>
      <w:r>
        <w:pict>
          <v:rect style="width:0;height:1.5pt" o:hralign="center" o:hrstd="t" o:hr="t"/>
        </w:pict>
      </w:r>
    </w:p>
    <w:p>
      <w:pPr>
        <w:pStyle w:val="FirstParagraph"/>
      </w:pPr>
      <w:r>
        <w:rPr>
          <w:iCs/>
          <w:i/>
        </w:rPr>
        <w:t xml:space="preserve">This report is confidential and intended solely for the use of the healthcare team involved in this patient's care, as per GDPR regulations applicable in Italy Naples. Any unauthorized reproduction or distribution is strictly prohibited.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Ophthalmological Clinical Lab Report: Naples, Italy</dc:title>
  <dc:creator/>
  <dc:language>en</dc:language>
  <cp:keywords/>
  <dcterms:created xsi:type="dcterms:W3CDTF">2026-07-29T12:26:52Z</dcterms:created>
  <dcterms:modified xsi:type="dcterms:W3CDTF">2026-07-29T12:26:52Z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