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Lab</w:t>
      </w:r>
      <w:r>
        <w:t xml:space="preserve"> </w:t>
      </w:r>
      <w:r>
        <w:t xml:space="preserve">Report:</w:t>
      </w:r>
      <w:r>
        <w:t xml:space="preserve"> </w:t>
      </w:r>
      <w:r>
        <w:t xml:space="preserve">Comprehensive</w:t>
      </w:r>
      <w:r>
        <w:t xml:space="preserve"> </w:t>
      </w:r>
      <w:r>
        <w:t xml:space="preserve">Ocular</w:t>
      </w:r>
      <w:r>
        <w:t xml:space="preserve"> </w:t>
      </w:r>
      <w:r>
        <w:t xml:space="preserve">Analysis</w:t>
      </w:r>
      <w:r>
        <w:t xml:space="preserve"> </w:t>
      </w:r>
      <w:r>
        <w:t xml:space="preserve">in</w:t>
      </w:r>
      <w:r>
        <w:t xml:space="preserve"> </w:t>
      </w:r>
      <w:r>
        <w:t xml:space="preserve">Japan</w:t>
      </w:r>
      <w:r>
        <w:t xml:space="preserve"> </w:t>
      </w:r>
      <w:r>
        <w:t xml:space="preserve">Kyoto</w:t>
      </w:r>
    </w:p>
    <w:bookmarkStart w:id="28" w:name="X04b20c5619a5ad9146ffcd7e5b92c610916fe3b"/>
    <w:p>
      <w:pPr>
        <w:pStyle w:val="Heading1"/>
      </w:pPr>
      <w:r>
        <w:t xml:space="preserve">Ophthalmologist Lab Report: Comprehensive Ocular Analysis in Japan Kyoto</w:t>
      </w:r>
    </w:p>
    <w:p>
      <w:pPr>
        <w:pStyle w:val="FirstParagraph"/>
      </w:pPr>
      <w:r>
        <w:rPr>
          <w:bCs/>
          <w:b/>
        </w:rPr>
        <w:t xml:space="preserve">Date:</w:t>
      </w:r>
      <w:r>
        <w:t xml:space="preserve"> </w:t>
      </w:r>
      <w:r>
        <w:t xml:space="preserve">October 24, 2023</w:t>
      </w:r>
      <w:r>
        <w:br/>
      </w:r>
      <w:r>
        <w:rPr>
          <w:bCs/>
          <w:b/>
        </w:rPr>
        <w:t xml:space="preserve">ID Reference:</w:t>
      </w:r>
      <w:r>
        <w:t xml:space="preserve"> </w:t>
      </w:r>
      <w:r>
        <w:t xml:space="preserve">KYOTO-EYE-2023-89X</w:t>
      </w:r>
      <w:r>
        <w:br/>
      </w:r>
      <w:r>
        <w:rPr>
          <w:bCs/>
          <w:b/>
        </w:rPr>
        <w:t xml:space="preserve">Patient Demographics:</w:t>
      </w:r>
      <w:r>
        <w:t xml:space="preserve"> </w:t>
      </w:r>
      <w:r>
        <w:t xml:space="preserve">Anonymous Adult Cohort (N=150)</w:t>
      </w:r>
      <w:r>
        <w:br/>
      </w:r>
      <w:r>
        <w:rPr>
          <w:bCs/>
          <w:b/>
        </w:rPr>
        <w:t xml:space="preserve">Location of Study:</w:t>
      </w:r>
      <w:r>
        <w:t xml:space="preserve"> </w:t>
      </w:r>
      <w:r>
        <w:t xml:space="preserve">Kyoto Prefecture, Japan</w:t>
      </w:r>
    </w:p>
    <w:bookmarkStart w:id="20" w:name="executive-summary"/>
    <w:p>
      <w:pPr>
        <w:pStyle w:val="Heading2"/>
      </w:pPr>
      <w:r>
        <w:t xml:space="preserve">1. Executive Summary</w:t>
      </w:r>
    </w:p>
    <w:p>
      <w:pPr>
        <w:pStyle w:val="FirstParagraph"/>
      </w:pPr>
      <w:r>
        <w:t xml:space="preserve">This document serves as a comprehensive Lab Report detailing the findings of ocular health assessments conducted by specialized Ophthalmologist teams within the historical and medical hub of Japan Kyoto. As healthcare infrastructure evolves in the Kansai region, it is imperative to understand how local environmental factors, aging demographics in traditional Japanese society, and advanced technological integration influence patient outcomes. This report synthesizes clinical data gathered from major ophthalmic centers in Kyoto City to provide a holistic view of current ocular pathologies.</w:t>
      </w:r>
    </w:p>
    <w:p>
      <w:pPr>
        <w:pStyle w:val="BodyText"/>
      </w:pPr>
      <w:r>
        <w:t xml:space="preserve">The primary objective of this study was to evaluate the prevalence of refractive errors, age-related macular degeneration (AMD), and glaucoma among residents. By focusing on Japan Kyoto, we aim to highlight regional nuances that differ from Tokyo or Osaka metropolitan centers. The data suggests a high demand for preventive care in aging populations, necessitating a robust framework for Ophthalmologist-led interventions.</w:t>
      </w:r>
    </w:p>
    <w:bookmarkEnd w:id="20"/>
    <w:bookmarkStart w:id="23" w:name="introduction-and-background"/>
    <w:p>
      <w:pPr>
        <w:pStyle w:val="Heading2"/>
      </w:pPr>
      <w:r>
        <w:t xml:space="preserve">2. Introduction and Background</w:t>
      </w:r>
    </w:p>
    <w:p>
      <w:pPr>
        <w:pStyle w:val="FirstParagraph"/>
      </w:pPr>
      <w:r>
        <w:t xml:space="preserve">Kyoto is renowned not only for its cultural heritage but also as a center of medical education and research, anchored by institutions such as Kyoto University Hospital. The role of the modern Ophthalmologist in this region has expanded significantly due to the demographic shift toward an aging society, a hallmark of contemporary Japanese healthcare challenges.</w:t>
      </w:r>
    </w:p>
    <w:bookmarkStart w:id="21" w:name="the-role-of-the-ophthalmologist"/>
    <w:p>
      <w:pPr>
        <w:pStyle w:val="Heading3"/>
      </w:pPr>
      <w:r>
        <w:t xml:space="preserve">2.1 The Role of the Ophthalmologist</w:t>
      </w:r>
    </w:p>
    <w:p>
      <w:pPr>
        <w:pStyle w:val="FirstParagraph"/>
      </w:pPr>
      <w:r>
        <w:t xml:space="preserve">In Japan Kyoto, Ophthalmologists are frequently required to manage complex cases involving diabetic retinopathy and dry eye syndrome exacerbated by seasonal climate variations. Unlike other regions, the specific humidity levels and traditional lifestyle factors in Kyoto influence ocular surface health. This Lab Report emphasizes the diagnostic precision required by Ophthalmologist professionals to differentiate between standard environmental irritants and pathological conditions.</w:t>
      </w:r>
    </w:p>
    <w:bookmarkEnd w:id="21"/>
    <w:bookmarkStart w:id="22" w:name="geographic-and-environmental-context"/>
    <w:p>
      <w:pPr>
        <w:pStyle w:val="Heading3"/>
      </w:pPr>
      <w:r>
        <w:t xml:space="preserve">2.2 Geographic and Environmental Context</w:t>
      </w:r>
    </w:p>
    <w:p>
      <w:pPr>
        <w:pStyle w:val="FirstParagraph"/>
      </w:pPr>
      <w:r>
        <w:t xml:space="preserve">The geography of Japan Kyoto presents unique challenges. The basin location can lead to specific air quality issues during certain seasons, potentially aggravating allergic conjunctivitis. Furthermore, the high concentration of tourist activity in central Kyoto introduces transient populations with different baseline eye health profiles compared to long-term residents. This Lab Report accounts for both demographic groups.</w:t>
      </w:r>
    </w:p>
    <w:bookmarkEnd w:id="22"/>
    <w:bookmarkEnd w:id="23"/>
    <w:bookmarkStart w:id="26" w:name="methodology"/>
    <w:p>
      <w:pPr>
        <w:pStyle w:val="Heading2"/>
      </w:pPr>
      <w:r>
        <w:t xml:space="preserve">3. Methodology</w:t>
      </w:r>
    </w:p>
    <w:p>
      <w:pPr>
        <w:pStyle w:val="FirstParagraph"/>
      </w:pPr>
      <w:r>
        <w:t xml:space="preserve">Data for this Lab Report was collected through a retrospective analysis of clinical records from three major ophthalmic clinics in Japan Kyoto over a period of twelve months. The inclusion criteria focused on patients aged 40 and above, as this demographic represents the highest risk group for sight-threatening conditions managed by Ophthalmologist specialists.</w:t>
      </w:r>
    </w:p>
    <w:bookmarkStart w:id="24" w:name="diagnostic-tools"/>
    <w:p>
      <w:pPr>
        <w:pStyle w:val="Heading3"/>
      </w:pPr>
      <w:r>
        <w:t xml:space="preserve">3.1 Diagnostic Tools</w:t>
      </w:r>
    </w:p>
    <w:p>
      <w:pPr>
        <w:pStyle w:val="FirstParagraph"/>
      </w:pPr>
      <w:r>
        <w:t xml:space="preserve">All assessments were performed using state-of-the-art equipment available in Kyoto’s top-tier medical facilities. Key diagnostic tools included:</w:t>
      </w:r>
    </w:p>
    <w:p>
      <w:pPr>
        <w:numPr>
          <w:ilvl w:val="0"/>
          <w:numId w:val="1001"/>
        </w:numPr>
        <w:pStyle w:val="Compact"/>
      </w:pPr>
      <w:r>
        <w:rPr>
          <w:bCs/>
          <w:b/>
        </w:rPr>
        <w:t xml:space="preserve">Spectral-Domain Optical Coherence Tomography (SD-OCT):</w:t>
      </w:r>
      <w:r>
        <w:t xml:space="preserve"> </w:t>
      </w:r>
      <w:r>
        <w:t xml:space="preserve">For detailed retinal layer analysis.</w:t>
      </w:r>
    </w:p>
    <w:p>
      <w:pPr>
        <w:numPr>
          <w:ilvl w:val="0"/>
          <w:numId w:val="1001"/>
        </w:numPr>
        <w:pStyle w:val="Compact"/>
      </w:pPr>
      <w:r>
        <w:rPr>
          <w:bCs/>
          <w:b/>
        </w:rPr>
        <w:t xml:space="preserve">Ophthalmoscopy:</w:t>
      </w:r>
      <w:r>
        <w:t xml:space="preserve"> </w:t>
      </w:r>
      <w:r>
        <w:t xml:space="preserve">Standard fundus examination to detect glaucoma and diabetic changes.</w:t>
      </w:r>
    </w:p>
    <w:p>
      <w:pPr>
        <w:numPr>
          <w:ilvl w:val="0"/>
          <w:numId w:val="1001"/>
        </w:numPr>
        <w:pStyle w:val="Compact"/>
      </w:pPr>
      <w:r>
        <w:rPr>
          <w:bCs/>
          <w:b/>
        </w:rPr>
        <w:t xml:space="preserve">Tonometry:</w:t>
      </w:r>
      <w:r>
        <w:t xml:space="preserve"> </w:t>
      </w:r>
      <w:r>
        <w:t xml:space="preserve">Measurement of intraocular pressure (IOP).</w:t>
      </w:r>
    </w:p>
    <w:bookmarkEnd w:id="24"/>
    <w:bookmarkStart w:id="25" w:name="data-collection-protocol"/>
    <w:p>
      <w:pPr>
        <w:pStyle w:val="Heading3"/>
      </w:pPr>
      <w:r>
        <w:t xml:space="preserve">3.2 Data Collection Protocol</w:t>
      </w:r>
    </w:p>
    <w:p>
      <w:pPr>
        <w:pStyle w:val="FirstParagraph"/>
      </w:pPr>
      <w:r>
        <w:t xml:space="preserve">Ophthalmologist practitioners recorded patient history, best-corrected visual acuity (BCVA), and IOP readings. Special attention was paid to complaints regarding dry eyes and blurred vision, which are prevalent in the urban environment of Japan Kyoto.</w:t>
      </w:r>
    </w:p>
    <w:bookmarkEnd w:id="25"/>
    <w:bookmarkEnd w:id="26"/>
    <w:bookmarkStart w:id="27" w:name="results"/>
    <w:p>
      <w:pPr>
        <w:pStyle w:val="Heading2"/>
      </w:pPr>
      <w:r>
        <w:t xml:space="preserve">4. Results</w:t>
      </w:r>
    </w:p>
    <w:p>
      <w:pPr>
        <w:pStyle w:val="FirstParagraph"/>
      </w:pPr>
      <w:r>
        <w:t xml:space="preserve">The analysis of data from this Lab Report reveals several critical trends regarding ocular health in Japan Kyoto. A total of 150 patients were evaluated by certified Ophthalmologist staff.</w:t>
      </w:r>
    </w:p>
    <w:p>
      <w:pPr>
        <w:pStyle w:val="BodyText"/>
      </w:pPr>
      <w:r>
        <w:t xml:space="preserve">Condition</w:t>
      </w:r>
    </w:p>
    <w:p>
      <w:pPr>
        <w:pStyle w:val="BodyText"/>
      </w:pPr>
      <w:r>
        <w:t xml:space="preserve">Patient Count (N)</w:t>
      </w:r>
    </w:p>
    <w:p>
      <w:pPr>
        <w:pStyle w:val="BodyText"/>
      </w:pPr>
      <w:r>
        <w:t xml:space="preserve">% of Total Cohort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Lab Report: Comprehensive Ocular Analysis in Japan Kyoto</dc:title>
  <dc:creator/>
  <dc:language>en</dc:language>
  <cp:keywords/>
  <dcterms:created xsi:type="dcterms:W3CDTF">2026-07-29T12:31:56Z</dcterms:created>
  <dcterms:modified xsi:type="dcterms:W3CDTF">2026-07-29T12:31:56Z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