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Clinical</w:t>
      </w:r>
      <w:r>
        <w:t xml:space="preserve"> </w:t>
      </w:r>
      <w:r>
        <w:t xml:space="preserve">Lab</w:t>
      </w:r>
      <w:r>
        <w:t xml:space="preserve"> </w:t>
      </w:r>
      <w:r>
        <w:t xml:space="preserve">Report:</w:t>
      </w:r>
      <w:r>
        <w:t xml:space="preserve"> </w:t>
      </w:r>
      <w:r>
        <w:t xml:space="preserve">Ophthalmological</w:t>
      </w:r>
      <w:r>
        <w:t xml:space="preserve"> </w:t>
      </w:r>
      <w:r>
        <w:t xml:space="preserve">Standards</w:t>
      </w:r>
      <w:r>
        <w:t xml:space="preserve"> </w:t>
      </w:r>
      <w:r>
        <w:t xml:space="preserve">in</w:t>
      </w:r>
      <w:r>
        <w:t xml:space="preserve"> </w:t>
      </w:r>
      <w:r>
        <w:t xml:space="preserve">Mexico</w:t>
      </w:r>
      <w:r>
        <w:t xml:space="preserve"> </w:t>
      </w:r>
      <w:r>
        <w:t xml:space="preserve">City</w:t>
      </w:r>
    </w:p>
    <w:bookmarkStart w:id="21" w:name="clinical-laboratory-report"/>
    <w:p>
      <w:pPr>
        <w:pStyle w:val="Heading1"/>
      </w:pPr>
      <w:r>
        <w:t xml:space="preserve">Clinical Laboratory Report</w:t>
      </w:r>
    </w:p>
    <w:bookmarkStart w:id="20" w:name="X0cd7293d1c4c8fe512549e2394719a343813b4a"/>
    <w:p>
      <w:pPr>
        <w:pStyle w:val="Heading2"/>
      </w:pPr>
      <w:r>
        <w:t xml:space="preserve">Evaluation of Ophthalmological Diagnostic Protocols in Mexico City</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Mexico City (Ciudad de México), Mexico</w:t>
      </w:r>
      <w:r>
        <w:br/>
      </w:r>
      <w:r>
        <w:rPr>
          <w:bCs/>
          <w:b/>
        </w:rPr>
        <w:t xml:space="preserve">Subject Focus:</w:t>
      </w:r>
      <w:r>
        <w:br/>
      </w:r>
      <w:r>
        <w:t xml:space="preserve">Ophthalmology</w:t>
      </w:r>
    </w:p>
    <w:bookmarkEnd w:id="20"/>
    <w:bookmarkEnd w:id="21"/>
    <w:bookmarkStart w:id="22" w:name="executive-summary"/>
    <w:p>
      <w:pPr>
        <w:pStyle w:val="Heading3"/>
      </w:pPr>
      <w:r>
        <w:t xml:space="preserve">Executive Summary</w:t>
      </w:r>
    </w:p>
    <w:p>
      <w:pPr>
        <w:pStyle w:val="FirstParagraph"/>
      </w:pPr>
      <w:r>
        <w:t xml:space="preserve">This Lab Report aims to provide a comprehensive analysis of the current state, regulatory framework, and clinical efficacy of an</w:t>
      </w:r>
      <w:r>
        <w:t xml:space="preserve"> </w:t>
      </w:r>
      <w:r>
        <w:t xml:space="preserve">Ophthalmologist</w:t>
      </w:r>
      <w:r>
        <w:t xml:space="preserve"> </w:t>
      </w:r>
      <w:r>
        <w:t xml:space="preserve">operating within the highly dense and dynamic healthcare environment of</w:t>
      </w:r>
      <w:r>
        <w:t xml:space="preserve"> </w:t>
      </w:r>
      <w:r>
        <w:rPr>
          <w:bCs/>
          <w:b/>
        </w:rPr>
        <w:t xml:space="preserve">Mexico City</w:t>
      </w:r>
      <w:r>
        <w:t xml:space="preserve">. The document explores how local medical standards align with international best practices for eye care diagnosis. By focusing on these key aspects, we ensure that stakeholders understand the unique challenges and opportunities presented by delivering specialized ocular health services in this major metropolitan hub.</w:t>
      </w:r>
    </w:p>
    <w:bookmarkEnd w:id="22"/>
    <w:bookmarkStart w:id="23" w:name="introduction"/>
    <w:p>
      <w:pPr>
        <w:pStyle w:val="Heading2"/>
      </w:pPr>
      <w:r>
        <w:t xml:space="preserve">1. Introduction</w:t>
      </w:r>
    </w:p>
    <w:p>
      <w:pPr>
        <w:pStyle w:val="FirstParagraph"/>
      </w:pPr>
      <w:r>
        <w:t xml:space="preserve">The healthcare infrastructure in</w:t>
      </w:r>
      <w:r>
        <w:t xml:space="preserve"> </w:t>
      </w:r>
      <w:r>
        <w:rPr>
          <w:bCs/>
          <w:b/>
        </w:rPr>
        <w:t xml:space="preserve">Mexico City</w:t>
      </w:r>
      <w:r>
        <w:t xml:space="preserve"> </w:t>
      </w:r>
      <w:r>
        <w:t xml:space="preserve">represents one of the most complex medical landscapes in Latin America. As a megacity with a population exceeding 9 million residents within its political boundaries, and over 20 million when considering the broader metropolitan area, the demand for specialized medical services is immense. Within this context, the role of an</w:t>
      </w:r>
      <w:r>
        <w:t xml:space="preserve"> </w:t>
      </w:r>
      <w:r>
        <w:t xml:space="preserve">Ophthalmologist</w:t>
      </w:r>
      <w:r>
        <w:t xml:space="preserve"> </w:t>
      </w:r>
      <w:r>
        <w:t xml:space="preserve">becomes critically important. Eye care is not merely a cosmetic or minor health concern; it encompasses critical diagnostic procedures that detect systemic diseases such as diabetes and hypertension.</w:t>
      </w:r>
    </w:p>
    <w:p>
      <w:pPr>
        <w:pStyle w:val="BodyText"/>
      </w:pPr>
      <w:r>
        <w:t xml:space="preserve">This Lab Report serves to evaluate the operational protocols, technological integration, and patient outcomes associated with ophthalmological practices in</w:t>
      </w:r>
      <w:r>
        <w:t xml:space="preserve"> </w:t>
      </w:r>
      <w:r>
        <w:rPr>
          <w:bCs/>
          <w:b/>
        </w:rPr>
        <w:t xml:space="preserve">Mexico City</w:t>
      </w:r>
      <w:r>
        <w:t xml:space="preserve">. The objective is to establish a baseline for quality assurance that respects local regulatory requirements while adhering to global standards of care. Understanding the specific epidemiological trends in</w:t>
      </w:r>
      <w:r>
        <w:t xml:space="preserve"> </w:t>
      </w:r>
      <w:r>
        <w:rPr>
          <w:bCs/>
          <w:b/>
        </w:rPr>
        <w:t xml:space="preserve">Mexico City</w:t>
      </w:r>
      <w:r>
        <w:t xml:space="preserve">, such as high rates of diabetic retinopathy due to urban lifestyle factors, is essential for tailoring effective treatment plans.</w:t>
      </w:r>
    </w:p>
    <w:bookmarkEnd w:id="23"/>
    <w:bookmarkStart w:id="26" w:name="X3b45a6ecbe6b2627e31156bfe0add7530886525"/>
    <w:p>
      <w:pPr>
        <w:pStyle w:val="Heading2"/>
      </w:pPr>
      <w:r>
        <w:t xml:space="preserve">2. Regulatory Framework and Certification in Mexico City</w:t>
      </w:r>
    </w:p>
    <w:p>
      <w:pPr>
        <w:pStyle w:val="FirstParagraph"/>
      </w:pPr>
      <w:r>
        <w:t xml:space="preserve">In order for an</w:t>
      </w:r>
      <w:r>
        <w:t xml:space="preserve"> </w:t>
      </w:r>
      <w:r>
        <w:t xml:space="preserve">Ophthalmologist</w:t>
      </w:r>
      <w:r>
        <w:t xml:space="preserve"> </w:t>
      </w:r>
      <w:r>
        <w:t xml:space="preserve">to practice legally and ethically in</w:t>
      </w:r>
      <w:r>
        <w:t xml:space="preserve"> </w:t>
      </w:r>
      <w:r>
        <w:rPr>
          <w:bCs/>
          <w:b/>
        </w:rPr>
        <w:t xml:space="preserve">Mexico City</w:t>
      </w:r>
      <w:r>
        <w:t xml:space="preserve">, strict adherence to the regulations set forth by the Federal Commission for the Protection against Sanitary Risks (COFEPRIS) is mandatory. COFEPRIS is the governing body responsible for ensuring that health services meet minimum quality and safety standards.</w:t>
      </w:r>
    </w:p>
    <w:bookmarkStart w:id="24" w:name="professional-accreditation"/>
    <w:p>
      <w:pPr>
        <w:pStyle w:val="Heading3"/>
      </w:pPr>
      <w:r>
        <w:t xml:space="preserve">2.1 Professional Accreditation</w:t>
      </w:r>
    </w:p>
    <w:p>
      <w:pPr>
        <w:pStyle w:val="FirstParagraph"/>
      </w:pPr>
      <w:r>
        <w:t xml:space="preserve">The certification process for an</w:t>
      </w:r>
      <w:r>
        <w:t xml:space="preserve"> </w:t>
      </w:r>
      <w:r>
        <w:t xml:space="preserve">Ophthalmologist</w:t>
      </w:r>
      <w:r>
        <w:t xml:space="preserve"> </w:t>
      </w:r>
      <w:r>
        <w:t xml:space="preserve">in</w:t>
      </w:r>
      <w:r>
        <w:t xml:space="preserve"> </w:t>
      </w:r>
      <w:r>
        <w:rPr>
          <w:bCs/>
          <w:b/>
        </w:rPr>
        <w:t xml:space="preserve">Mexico City</w:t>
      </w:r>
      <w:r>
        <w:t xml:space="preserve"> </w:t>
      </w:r>
      <w:r>
        <w:t xml:space="preserve">requires completion of a specialized residency program accredited by the National Council of Ophthalmology (CONAO). This ensures that every practitioner has undergone rigorous training in both medical and surgical aspects of eye care. The Lab Report notes that facilities in</w:t>
      </w:r>
      <w:r>
        <w:t xml:space="preserve"> </w:t>
      </w:r>
      <w:r>
        <w:rPr>
          <w:bCs/>
          <w:b/>
        </w:rPr>
        <w:t xml:space="preserve">Mexico City</w:t>
      </w:r>
      <w:r>
        <w:t xml:space="preserve"> </w:t>
      </w:r>
      <w:r>
        <w:t xml:space="preserve">must display their COFEPRIS license prominently, providing transparency to patients seeking care.</w:t>
      </w:r>
    </w:p>
    <w:bookmarkEnd w:id="24"/>
    <w:bookmarkStart w:id="25" w:name="facility-standards"/>
    <w:p>
      <w:pPr>
        <w:pStyle w:val="Heading3"/>
      </w:pPr>
      <w:r>
        <w:t xml:space="preserve">2.2 Facility Standards</w:t>
      </w:r>
    </w:p>
    <w:p>
      <w:pPr>
        <w:pStyle w:val="FirstParagraph"/>
      </w:pPr>
      <w:r>
        <w:t xml:space="preserve">Hospitals and private clinics operating in</w:t>
      </w:r>
      <w:r>
        <w:t xml:space="preserve"> </w:t>
      </w:r>
      <w:r>
        <w:rPr>
          <w:bCs/>
          <w:b/>
        </w:rPr>
        <w:t xml:space="preserve">Mexico City</w:t>
      </w:r>
      <w:r>
        <w:t xml:space="preserve"> </w:t>
      </w:r>
      <w:r>
        <w:t xml:space="preserve">are subject to regular inspections by sanitary authorities. These inspections verify that sterilization protocols for surgical instruments (such as those used in cataract surgery) meet international biosafety levels. This Lab Report highlights that compliance with these standards is non-negotiable for maintaining the integrity of ophthalmological care.</w:t>
      </w:r>
    </w:p>
    <w:bookmarkEnd w:id="25"/>
    <w:bookmarkEnd w:id="26"/>
    <w:bookmarkStart w:id="29" w:name="Xde24dfedbf29c032d8ab8bd8c31235d4521f385"/>
    <w:p>
      <w:pPr>
        <w:pStyle w:val="Heading2"/>
      </w:pPr>
      <w:r>
        <w:t xml:space="preserve">3. Diagnostic Procedures and Technological Integration</w:t>
      </w:r>
    </w:p>
    <w:p>
      <w:pPr>
        <w:pStyle w:val="FirstParagraph"/>
      </w:pPr>
      <w:r>
        <w:t xml:space="preserve">The effectiveness of an</w:t>
      </w:r>
      <w:r>
        <w:t xml:space="preserve"> </w:t>
      </w:r>
      <w:r>
        <w:t xml:space="preserve">Ophthalmologist</w:t>
      </w:r>
      <w:r>
        <w:t xml:space="preserve"> </w:t>
      </w:r>
      <w:r>
        <w:t xml:space="preserve">relies heavily on accurate diagnostics. In</w:t>
      </w:r>
      <w:r>
        <w:t xml:space="preserve"> </w:t>
      </w:r>
      <w:r>
        <w:rPr>
          <w:bCs/>
          <w:b/>
        </w:rPr>
        <w:t xml:space="preserve">Mexico City</w:t>
      </w:r>
      <w:r>
        <w:t xml:space="preserve">, there is a significant disparity in access to technology between public hospitals (such as those affiliated with IMSS or ISSSTE) and private institutions. However, the trend toward modernization is accelerating.</w:t>
      </w:r>
    </w:p>
    <w:bookmarkStart w:id="27" w:name="optical-coherence-tomography-oct"/>
    <w:p>
      <w:pPr>
        <w:pStyle w:val="Heading3"/>
      </w:pPr>
      <w:r>
        <w:t xml:space="preserve">3.1 Optical Coherence Tomography (OCT)</w:t>
      </w:r>
    </w:p>
    <w:p>
      <w:pPr>
        <w:pStyle w:val="FirstParagraph"/>
      </w:pPr>
      <w:r>
        <w:t xml:space="preserve">OCT has become a cornerstone diagnostic tool for an</w:t>
      </w:r>
      <w:r>
        <w:t xml:space="preserve"> </w:t>
      </w:r>
      <w:r>
        <w:t xml:space="preserve">Ophthalmologist</w:t>
      </w:r>
      <w:r>
        <w:t xml:space="preserve">. This non-invasive imaging test uses light waves to take cross-section pictures of the retina. In</w:t>
      </w:r>
      <w:r>
        <w:t xml:space="preserve"> </w:t>
      </w:r>
      <w:r>
        <w:rPr>
          <w:bCs/>
          <w:b/>
        </w:rPr>
        <w:t xml:space="preserve">Mexico City</w:t>
      </w:r>
      <w:r>
        <w:t xml:space="preserve">, the availability of OCT machines allows for early detection of glaucoma and macular degeneration. This Lab Report emphasizes that regular calibration and maintenance of these devices are critical, given the high humidity and dust levels often found in urban environments.</w:t>
      </w:r>
    </w:p>
    <w:bookmarkEnd w:id="27"/>
    <w:bookmarkStart w:id="28" w:name="fundus-photography"/>
    <w:p>
      <w:pPr>
        <w:pStyle w:val="Heading3"/>
      </w:pPr>
      <w:r>
        <w:t xml:space="preserve">3.2 Fundus Photography</w:t>
      </w:r>
    </w:p>
    <w:p>
      <w:pPr>
        <w:pStyle w:val="FirstParagraph"/>
      </w:pPr>
      <w:r>
        <w:t xml:space="preserve">For screening diabetic retinopathy—a prevalent condition among the population of</w:t>
      </w:r>
      <w:r>
        <w:t xml:space="preserve"> </w:t>
      </w:r>
      <w:r>
        <w:rPr>
          <w:bCs/>
          <w:b/>
        </w:rPr>
        <w:t xml:space="preserve">Mexico City</w:t>
      </w:r>
      <w:r>
        <w:t xml:space="preserve">—fundus photography is essential. It provides a permanent record of the retina's health, allowing an</w:t>
      </w:r>
      <w:r>
        <w:t xml:space="preserve"> </w:t>
      </w:r>
      <w:r>
        <w:t xml:space="preserve">Ophthalmologist</w:t>
      </w:r>
      <w:r>
        <w:t xml:space="preserve"> </w:t>
      </w:r>
      <w:r>
        <w:t xml:space="preserve">to track changes over time. The integration of AI-assisted analysis in some private clinics in</w:t>
      </w:r>
      <w:r>
        <w:t xml:space="preserve"> </w:t>
      </w:r>
      <w:r>
        <w:rPr>
          <w:bCs/>
          <w:b/>
        </w:rPr>
        <w:t xml:space="preserve">Mexico City</w:t>
      </w:r>
      <w:r>
        <w:t xml:space="preserve"> </w:t>
      </w:r>
      <w:r>
        <w:t xml:space="preserve">has improved diagnostic accuracy and reduced wait times for patients.</w:t>
      </w:r>
    </w:p>
    <w:bookmarkEnd w:id="28"/>
    <w:bookmarkEnd w:id="29"/>
    <w:bookmarkStart w:id="30" w:name="X9db3b90698a023d34c9f83da14567a6120b282f"/>
    <w:p>
      <w:pPr>
        <w:pStyle w:val="Heading2"/>
      </w:pPr>
      <w:r>
        <w:t xml:space="preserve">4. Epidemiological Considerations Specific to Mexico City</w:t>
      </w:r>
    </w:p>
    <w:p>
      <w:pPr>
        <w:pStyle w:val="FirstParagraph"/>
      </w:pPr>
      <w:r>
        <w:t xml:space="preserve">An effective</w:t>
      </w:r>
      <w:r>
        <w:t xml:space="preserve"> </w:t>
      </w:r>
      <w:r>
        <w:t xml:space="preserve">Ophthalmologist</w:t>
      </w:r>
      <w:r>
        <w:t xml:space="preserve"> </w:t>
      </w:r>
      <w:r>
        <w:t xml:space="preserve">must adapt their treatment protocols to the specific health challenges of the region. The data collected in this Lab Report indicates several key trends in</w:t>
      </w:r>
      <w:r>
        <w:t xml:space="preserve"> </w:t>
      </w:r>
      <w:r>
        <w:rPr>
          <w:bCs/>
          <w:b/>
        </w:rPr>
        <w:t xml:space="preserve">Mexico City</w:t>
      </w:r>
      <w:r>
        <w:t xml:space="preserve">:</w:t>
      </w:r>
    </w:p>
    <w:p>
      <w:pPr>
        <w:numPr>
          <w:ilvl w:val="0"/>
          <w:numId w:val="1001"/>
        </w:numPr>
        <w:pStyle w:val="Compact"/>
      </w:pPr>
      <w:r>
        <w:rPr>
          <w:bCs/>
          <w:b/>
        </w:rPr>
        <w:t xml:space="preserve">Diabetic Retinopathy:</w:t>
      </w:r>
      <w:r>
        <w:t xml:space="preserve"> </w:t>
      </w:r>
      <w:r>
        <w:t xml:space="preserve">High prevalence rates require proactive screening programs.</w:t>
      </w:r>
    </w:p>
    <w:p>
      <w:pPr>
        <w:numPr>
          <w:ilvl w:val="0"/>
          <w:numId w:val="1001"/>
        </w:numPr>
        <w:pStyle w:val="Compact"/>
      </w:pPr>
      <w:r>
        <w:rPr>
          <w:bCs/>
          <w:b/>
        </w:rPr>
        <w:t xml:space="preserve">Cataracts:</w:t>
      </w:r>
      <w:r>
        <w:t xml:space="preserve"> </w:t>
      </w:r>
      <w:r>
        <w:t xml:space="preserve">Still a leading cause of blindness, particularly among the elderly population in older neighborhoods of</w:t>
      </w:r>
      <w:r>
        <w:t xml:space="preserve"> </w:t>
      </w:r>
      <w:r>
        <w:rPr>
          <w:bCs/>
          <w:b/>
        </w:rPr>
        <w:t xml:space="preserve">Mexico City</w:t>
      </w:r>
      <w:r>
        <w:t xml:space="preserve">.</w:t>
      </w:r>
    </w:p>
    <w:p>
      <w:pPr>
        <w:numPr>
          <w:ilvl w:val="0"/>
          <w:numId w:val="1001"/>
        </w:numPr>
        <w:pStyle w:val="Compact"/>
      </w:pPr>
      <w:r>
        <w:rPr>
          <w:bCs/>
          <w:b/>
        </w:rPr>
        <w:t xml:space="preserve">Ambient Air Pollution:</w:t>
      </w:r>
      <w:r>
        <w:t xml:space="preserve"> </w:t>
      </w:r>
      <w:r>
        <w:t xml:space="preserve">Chronic exposure to particulate matter can exacerbate dry eye syndrome and allergic conjunctivitis. An</w:t>
      </w:r>
      <w:r>
        <w:t xml:space="preserve"> </w:t>
      </w:r>
      <w:r>
        <w:t xml:space="preserve">Ophthalmologist</w:t>
      </w:r>
      <w:r>
        <w:t xml:space="preserve"> </w:t>
      </w:r>
      <w:r>
        <w:t xml:space="preserve">in this region must be educated on managing pollution-induced ocular surface diseases.</w:t>
      </w:r>
    </w:p>
    <w:bookmarkEnd w:id="30"/>
    <w:bookmarkStart w:id="31" w:name="quality-assurance-and-patient-outcomes"/>
    <w:p>
      <w:pPr>
        <w:pStyle w:val="Heading2"/>
      </w:pPr>
      <w:r>
        <w:t xml:space="preserve">5. Quality Assurance and Patient Outcomes</w:t>
      </w:r>
    </w:p>
    <w:p>
      <w:pPr>
        <w:pStyle w:val="FirstParagraph"/>
      </w:pPr>
      <w:r>
        <w:t xml:space="preserve">To ensure the highest standard of care, this Lab Report recommends the implementation of continuous quality improvement (CQI) cycles within ophthalmological departments in</w:t>
      </w:r>
      <w:r>
        <w:t xml:space="preserve"> </w:t>
      </w:r>
      <w:r>
        <w:rPr>
          <w:bCs/>
          <w:b/>
        </w:rPr>
        <w:t xml:space="preserve">Mexico City</w:t>
      </w:r>
      <w:r>
        <w:t xml:space="preserve">. Key Performance Indicators (KPIs) should include:</w:t>
      </w:r>
    </w:p>
    <w:p>
      <w:pPr>
        <w:pStyle w:val="BodyText"/>
      </w:pPr>
      <w:r>
        <w:t xml:space="preserve">Metric</w:t>
      </w:r>
    </w:p>
    <w:p>
      <w:pPr>
        <w:pStyle w:val="BodyText"/>
      </w:pPr>
      <w:r>
        <w:t xml:space="preserve">Description</w:t>
      </w:r>
    </w:p>
    <w:p>
      <w:pPr>
        <w:pStyle w:val="BodyText"/>
      </w:pPr>
      <w:r>
        <w:t xml:space="preserve">Surgical Success Rate</w:t>
      </w:r>
    </w:p>
    <w:p>
      <w:pPr>
        <w:pStyle w:val="BodyText"/>
      </w:pPr>
      <w:r>
        <w:t xml:space="preserve">Percentage of cataract surgeries achieving 20/40 vision or better.</w:t>
      </w:r>
    </w:p>
    <w:p>
      <w:pPr>
        <w:pStyle w:val="BodyText"/>
      </w:pPr>
      <w:r>
        <w:t xml:space="preserve">Post-Op Infection Rate</w:t>
      </w:r>
    </w:p>
    <w:p>
      <w:pPr>
        <w:pStyle w:val="BodyText"/>
      </w:pPr>
      <w:r>
        <w:t xml:space="preserve">Infections occurring within 30 days post-surgery.</w:t>
      </w:r>
    </w:p>
    <w:p>
      <w:pPr>
        <w:pStyle w:val="BodyText"/>
      </w:pPr>
      <w:r>
        <w:t xml:space="preserve">Patient Satisfaction Score</w:t>
      </w:r>
    </w:p>
    <w:p>
      <w:pPr>
        <w:pStyle w:val="BodyText"/>
      </w:pPr>
      <w:r>
        <w:t xml:space="preserve">Average rating from patient feedback surveys in</w:t>
      </w:r>
      <w:r>
        <w:t xml:space="preserve"> </w:t>
      </w:r>
      <w:r>
        <w:rPr>
          <w:bCs/>
          <w:b/>
        </w:rPr>
        <w:t xml:space="preserve">Mexico City</w:t>
      </w:r>
      <w:r>
        <w:t xml:space="preserve">.</w:t>
      </w:r>
    </w:p>
    <w:p>
      <w:pPr>
        <w:pStyle w:val="BodyText"/>
      </w:pPr>
      <w:r>
        <w:t xml:space="preserve">Diagnostic Turnaround Time</w:t>
      </w:r>
    </w:p>
    <w:p>
      <w:pPr>
        <w:pStyle w:val="BodyText"/>
      </w:pPr>
      <w:r>
        <w:t xml:space="preserve">Time from consultation to final diagnosis report by the</w:t>
      </w:r>
      <w:r>
        <w:t xml:space="preserve"> </w:t>
      </w:r>
      <w:r>
        <w:t xml:space="preserve">Ophthalmologist</w:t>
      </w:r>
      <w:r>
        <w:t xml:space="preserve">.</w:t>
      </w:r>
    </w:p>
    <w:bookmarkEnd w:id="31"/>
    <w:bookmarkStart w:id="32" w:name="conclusion-and-recommendations"/>
    <w:p>
      <w:pPr>
        <w:pStyle w:val="Heading2"/>
      </w:pPr>
      <w:r>
        <w:t xml:space="preserve">6. Conclusion and Recommendations</w:t>
      </w:r>
    </w:p>
    <w:p>
      <w:pPr>
        <w:pStyle w:val="FirstParagraph"/>
      </w:pPr>
      <w:r>
        <w:t xml:space="preserve">This Lab Report concludes that the practice of an</w:t>
      </w:r>
      <w:r>
        <w:t xml:space="preserve"> </w:t>
      </w:r>
      <w:r>
        <w:t xml:space="preserve">Ophthalmologist</w:t>
      </w:r>
      <w:r>
        <w:t xml:space="preserve"> </w:t>
      </w:r>
      <w:r>
        <w:t xml:space="preserve">in</w:t>
      </w:r>
      <w:r>
        <w:t xml:space="preserve"> </w:t>
      </w:r>
      <w:r>
        <w:rPr>
          <w:bCs/>
          <w:b/>
        </w:rPr>
        <w:t xml:space="preserve">Mexico City</w:t>
      </w:r>
      <w:r>
        <w:t xml:space="preserve"> </w:t>
      </w:r>
      <w:r>
        <w:t xml:space="preserve">is evolving rapidly, driven by technological advancements and increased regulatory oversight. While challenges such as resource disparity and environmental health factors persist, the commitment to quality care remains strong.</w:t>
      </w:r>
    </w:p>
    <w:p>
      <w:pPr>
        <w:pStyle w:val="BodyText"/>
      </w:pPr>
      <w:r>
        <w:t xml:space="preserve">We recommend that all medical facilities in</w:t>
      </w:r>
      <w:r>
        <w:t xml:space="preserve"> </w:t>
      </w:r>
      <w:r>
        <w:rPr>
          <w:bCs/>
          <w:b/>
        </w:rPr>
        <w:t xml:space="preserve">Mexico City</w:t>
      </w:r>
      <w:r>
        <w:t xml:space="preserve"> </w:t>
      </w:r>
      <w:r>
        <w:t xml:space="preserve">invest in ongoing education for their</w:t>
      </w:r>
      <w:r>
        <w:t xml:space="preserve"> </w:t>
      </w:r>
      <w:r>
        <w:t xml:space="preserve">Ophthalmologist</w:t>
      </w:r>
      <w:r>
        <w:t xml:space="preserve"> </w:t>
      </w:r>
      <w:r>
        <w:t xml:space="preserve">staff regarding new diagnostic technologies. Furthermore, public-private partnerships should be encouraged to bring advanced screening tools like OCT and AI-assisted diagnostics to underserved areas of the city. By doing so, we can ensure that every resident of</w:t>
      </w:r>
      <w:r>
        <w:t xml:space="preserve"> </w:t>
      </w:r>
      <w:r>
        <w:rPr>
          <w:bCs/>
          <w:b/>
        </w:rPr>
        <w:t xml:space="preserve">Mexico City</w:t>
      </w:r>
      <w:r>
        <w:t xml:space="preserve">, regardless of socioeconomic status, has access to world-class ophthalmological care.</w:t>
      </w:r>
    </w:p>
    <w:p>
      <w:pPr>
        <w:pStyle w:val="BodyText"/>
      </w:pPr>
      <w:r>
        <w:t xml:space="preserve">Final note: The integration of data-driven decision-making into the workflow of an</w:t>
      </w:r>
      <w:r>
        <w:t xml:space="preserve"> </w:t>
      </w:r>
      <w:r>
        <w:t xml:space="preserve">Ophthalmologist</w:t>
      </w:r>
      <w:r>
        <w:t xml:space="preserve"> </w:t>
      </w:r>
      <w:r>
        <w:t xml:space="preserve">will be crucial for future improvements in eye health outcomes across the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Clinical Lab Report: Ophthalmological Standards in Mexico City</dc:title>
  <dc:creator/>
  <dc:language>en</dc:language>
  <cp:keywords/>
  <dcterms:created xsi:type="dcterms:W3CDTF">2026-07-30T06:17:14Z</dcterms:created>
  <dcterms:modified xsi:type="dcterms:W3CDTF">2026-07-30T06:17:14Z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