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Ophthalmological</w:t>
      </w:r>
      <w:r>
        <w:t xml:space="preserve"> </w:t>
      </w:r>
      <w:r>
        <w:t xml:space="preserve">Laboratory</w:t>
      </w:r>
      <w:r>
        <w:t xml:space="preserve"> </w:t>
      </w:r>
      <w:r>
        <w:t xml:space="preserve">Report:</w:t>
      </w:r>
      <w:r>
        <w:t xml:space="preserve"> </w:t>
      </w:r>
      <w:r>
        <w:t xml:space="preserve">Yangon,</w:t>
      </w:r>
      <w:r>
        <w:t xml:space="preserve"> </w:t>
      </w:r>
      <w:r>
        <w:t xml:space="preserve">Myanmar</w:t>
      </w:r>
    </w:p>
    <w:bookmarkStart w:id="20" w:name="ophthalmological-laboratory-report"/>
    <w:p>
      <w:pPr>
        <w:pStyle w:val="Heading1"/>
      </w:pPr>
      <w:r>
        <w:t xml:space="preserve">Ophthalmological Laboratory Report</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Yangon Eye Center &amp; Research Institute</w:t>
      </w:r>
    </w:p>
    <w:p>
      <w:pPr>
        <w:pStyle w:val="BodyText"/>
      </w:pPr>
      <w:r>
        <w:rPr>
          <w:bCs/>
          <w:b/>
        </w:rPr>
        <w:t xml:space="preserve">Location:</w:t>
      </w:r>
      <w:r>
        <w:t xml:space="preserve"> </w:t>
      </w:r>
      <w:r>
        <w:t xml:space="preserve">Myanmar, Yangon Region</w:t>
      </w:r>
    </w:p>
    <w:p>
      <w:r>
        <w:pict>
          <v:rect style="width:0;height:1.5pt" o:hralign="center" o:hrstd="t" o:hr="t"/>
        </w:pict>
      </w:r>
    </w:p>
    <w:bookmarkEnd w:id="20"/>
    <w:bookmarkStart w:id="21" w:name="i.-introduction-and-contextual-overview"/>
    <w:p>
      <w:pPr>
        <w:pStyle w:val="Heading2"/>
      </w:pPr>
      <w:r>
        <w:t xml:space="preserve">I. Introduction and Contextual Overview</w:t>
      </w:r>
    </w:p>
    <w:p>
      <w:pPr>
        <w:pStyle w:val="FirstParagraph"/>
      </w:pPr>
      <w:r>
        <w:t xml:space="preserve">This comprehensive lab report serves as a critical documentation of ophthalmic diagnostic procedures, pathological findings, and clinical outcomes observed within the specialized healthcare infrastructure of Myanmar, specifically focusing on the metropolitan area of Yangon. As the commercial capital and largest city in Myanmar, Yangon presents a unique epidemiological landscape for ophthalmologists. The city’s rapid urbanization combined with a dense population density creates distinct challenges regarding infectious eye diseases, while simultaneously exposing residents to modern lifestyle-related ocular pathologies such as age-related macular degeneration and diabetic retinopathy.</w:t>
      </w:r>
    </w:p>
    <w:p>
      <w:pPr>
        <w:pStyle w:val="BodyText"/>
      </w:pPr>
      <w:r>
        <w:t xml:space="preserve">The primary objective of this document is to analyze the efficacy and application of modern ophthalmologist-led laboratory protocols in Yangon. By bridging traditional diagnostic methods with advanced technological interventions, this report aims to highlight how the local medical community adapts international standards of eye care to suit the specific demographic and environmental realities of Myanmar.</w:t>
      </w:r>
    </w:p>
    <w:bookmarkEnd w:id="21"/>
    <w:bookmarkStart w:id="25" w:name="Xf6a3e9e6954d305d246547d29a18296a7021380"/>
    <w:p>
      <w:pPr>
        <w:pStyle w:val="Heading2"/>
      </w:pPr>
      <w:r>
        <w:t xml:space="preserve">II. Methodology: Laboratory Procedures in Yangon</w:t>
      </w:r>
    </w:p>
    <w:p>
      <w:pPr>
        <w:pStyle w:val="FirstParagraph"/>
      </w:pPr>
      <w:r>
        <w:t xml:space="preserve">The laboratory workflows detailed herein were conducted at a tertiary care facility located in downtown Yangon. The methodology employed a multi-disciplinary approach, integrating clinical ophthalmology with microbiological and biochemical analysis.</w:t>
      </w:r>
    </w:p>
    <w:bookmarkStart w:id="22" w:name="a.-sample-collection-protocols"/>
    <w:p>
      <w:pPr>
        <w:pStyle w:val="Heading3"/>
      </w:pPr>
      <w:r>
        <w:t xml:space="preserve">A. Sample Collection Protocols</w:t>
      </w:r>
    </w:p>
    <w:p>
      <w:pPr>
        <w:pStyle w:val="FirstParagraph"/>
      </w:pPr>
      <w:r>
        <w:t xml:space="preserve">In the context of Myanmar’s tropical climate, corneal scraping remains a vital diagnostic tool for suspected microbial keratitis. Samples were collected using sterile calcium alginate swabs from patients presenting with acute ocular inflammation. Due to the high humidity levels prevalent in Yangon during the monsoon seasons, fungal etiologies are disproportionately common compared to temperate regions. Therefore, all samples underwent dual culture techniques: Sabouraud Dextrose Agar for fungal isolation and Blood Agar/Columbia Chocolate Agar for bacterial identification.</w:t>
      </w:r>
    </w:p>
    <w:bookmarkEnd w:id="22"/>
    <w:bookmarkStart w:id="23" w:name="b.-ophthalmic-imaging-analysis"/>
    <w:p>
      <w:pPr>
        <w:pStyle w:val="Heading3"/>
      </w:pPr>
      <w:r>
        <w:t xml:space="preserve">B. Ophthalmic Imaging Analysis</w:t>
      </w:r>
    </w:p>
    <w:p>
      <w:pPr>
        <w:pStyle w:val="FirstParagraph"/>
      </w:pPr>
      <w:r>
        <w:t xml:space="preserve">Ophthalmologists in Yangon increasingly rely on Optical Coherence Tomography (OCT) and Fluorescein Angiography (FA). In this lab report, we analyzed retinal scans from 50 patients presenting with visual disturbances. The imaging data was processed using local servers to ensure patient privacy compliance under emerging Myanmar digital health regulations.</w:t>
      </w:r>
    </w:p>
    <w:bookmarkEnd w:id="23"/>
    <w:bookmarkStart w:id="24" w:name="Xeea0a8a49d004d9b6fe4c6ee4fcd733e5573000"/>
    <w:p>
      <w:pPr>
        <w:pStyle w:val="Heading3"/>
      </w:pPr>
      <w:r>
        <w:t xml:space="preserve">C. Refractive Error Laboratory Assessment</w:t>
      </w:r>
    </w:p>
    <w:p>
      <w:pPr>
        <w:pStyle w:val="FirstParagraph"/>
      </w:pPr>
      <w:r>
        <w:t xml:space="preserve">A significant portion of the laboratory workload involves automated refraction assessments for cataract surgery planning. Given the high prevalence of uncorrected refractive errors among the aging population in Yangon, precise biometric measurements (axial length and keratometry) were taken to calculate intraocular lens (IOL) power with maximum accuracy.</w:t>
      </w:r>
    </w:p>
    <w:bookmarkEnd w:id="24"/>
    <w:bookmarkEnd w:id="25"/>
    <w:bookmarkStart w:id="26" w:name="iii.-results-and-clinical-findings"/>
    <w:p>
      <w:pPr>
        <w:pStyle w:val="Heading2"/>
      </w:pPr>
      <w:r>
        <w:t xml:space="preserve">III. Results and Clinical Findings</w:t>
      </w:r>
    </w:p>
    <w:p>
      <w:pPr>
        <w:pStyle w:val="FirstParagraph"/>
      </w:pPr>
      <w:r>
        <w:t xml:space="preserve">The laboratory data collected over a six-month period in Yangon reveals distinct patterns in ocular pathology that differ from global averages.</w:t>
      </w:r>
    </w:p>
    <w:p>
      <w:pPr>
        <w:pStyle w:val="BodyText"/>
      </w:pPr>
      <w:r>
        <w:t xml:space="preserve">Disease Category</w:t>
      </w:r>
    </w:p>
    <w:p>
      <w:pPr>
        <w:pStyle w:val="BodyText"/>
      </w:pPr>
      <w:r>
        <w:t xml:space="preserve">Patient Prevalence (%)</w:t>
      </w:r>
    </w:p>
    <w:p>
      <w:pPr>
        <w:pStyle w:val="BodyText"/>
      </w:pPr>
      <w:r>
        <w:t xml:space="preserve">&gt;/tr&gt;&gt;/thead&gt;&gt;tbody/tr&gt;</w:t>
      </w:r>
    </w:p>
    <w:p>
      <w:pPr>
        <w:pStyle w:val="BodyText"/>
      </w:pPr>
      <w:r>
        <w:t xml:space="preserve">Cataract (Nuclear Sclerosis)</w:t>
      </w:r>
    </w:p>
    <w:p>
      <w:pPr>
        <w:pStyle w:val="BodyText"/>
      </w:pPr>
      <w:r>
        <w:t xml:space="preserve">45%</w:t>
      </w:r>
    </w:p>
    <w:p>
      <w:pPr>
        <w:pStyle w:val="BodyText"/>
      </w:pPr>
      <w:r>
        <w:t xml:space="preserve">Strong correlation with UV exposure and age; requires advanced phacoemulsification techniques.</w:t>
      </w:r>
    </w:p>
    <w:p>
      <w:pPr>
        <w:pStyle w:val="BodyText"/>
      </w:pPr>
      <w:r>
        <w:t xml:space="preserve">Traumatic Keratitis</w:t>
      </w:r>
    </w:p>
    <w:p>
      <w:pPr>
        <w:pStyle w:val="BodyText"/>
      </w:pPr>
      <w:r>
        <w:t xml:space="preserve">&lt; p &gt;Frequent in agricultural workers; high incidence of vegetative foreign bodies (e.g., thorns, leaves).</w:t>
      </w:r>
    </w:p>
    <w:p>
      <w:pPr>
        <w:pStyle w:val="BodyText"/>
      </w:pPr>
      <w:r>
        <w:t xml:space="preserve">Disease Category</w:t>
      </w:r>
    </w:p>
    <w:p>
      <w:pPr>
        <w:pStyle w:val="BodyText"/>
      </w:pPr>
      <w:r>
        <w:t xml:space="preserve">Patient Prevalence (%)</w:t>
      </w:r>
    </w:p>
    <w:p>
      <w:pPr>
        <w:pStyle w:val="BodyText"/>
      </w:pPr>
      <w:r>
        <w:t xml:space="preserve">Key Finding for Myanmar Yangon Context</w:t>
      </w:r>
    </w:p>
    <w:p>
      <w:pPr>
        <w:pStyle w:val="BodyText"/>
      </w:pPr>
      <w:r>
        <w:t xml:space="preserve">Cataract (Nuclear Sclerosis)</w:t>
      </w:r>
    </w:p>
    <w:p>
      <w:pPr>
        <w:pStyle w:val="BodyText"/>
      </w:pPr>
      <w:r>
        <w:t xml:space="preserve">45%</w:t>
      </w:r>
    </w:p>
    <w:p>
      <w:pPr>
        <w:pStyle w:val="BodyText"/>
      </w:pPr>
      <w:r>
        <w:t xml:space="preserve">Strong correlation with UV exposure and age; requires advanced phacoemulsification techniques.</w:t>
      </w:r>
    </w:p>
    <w:p>
      <w:pPr>
        <w:pStyle w:val="BodyText"/>
      </w:pPr>
      <w:r>
        <w:t xml:space="preserve">Traumatic Keratitis&lt; td &gt;20%&lt; p&gt;Frequent in agricultural workers; high incidence of vegetative foreign bodies (e.g., thorns, leaves).</w:t>
      </w:r>
    </w:p>
    <w:p>
      <w:pPr>
        <w:pStyle w:val="BodyText"/>
      </w:pPr>
      <w:r>
        <w:t xml:space="preserve">Diabetic Retinopathy</w:t>
      </w:r>
    </w:p>
    <w:p>
      <w:pPr>
        <w:pStyle w:val="BodyText"/>
      </w:pPr>
      <w:r>
        <w:t xml:space="preserve">18%</w:t>
      </w:r>
    </w:p>
    <w:p>
      <w:pPr>
        <w:pStyle w:val="BodyText"/>
      </w:pPr>
      <w:r>
        <w:t xml:space="preserve">Rising prevalence due to increased lifestyle diseases and limited early screening access in Yangon.</w:t>
      </w:r>
    </w:p>
    <w:p>
      <w:pPr>
        <w:pStyle w:val="BodyText"/>
      </w:pPr>
      <w:r>
        <w:t xml:space="preserve">Fungal Keratitis&lt; td &gt;12%&lt; p&gt;Dominant pathogen is Fusarium; linked to high humidity and agricultural exposure common in Myanmar.</w:t>
      </w:r>
    </w:p>
    <w:p>
      <w:pPr>
        <w:pStyle w:val="BodyText"/>
      </w:pPr>
      <w:r>
        <w:t xml:space="preserve">Other (Glaucoma, Conjunctivitis)</w:t>
      </w:r>
    </w:p>
    <w:p>
      <w:pPr>
        <w:pStyle w:val="BodyText"/>
      </w:pPr>
      <w:r>
        <w:t xml:space="preserve">5%</w:t>
      </w:r>
    </w:p>
    <w:p>
      <w:pPr>
        <w:pStyle w:val="BodyText"/>
      </w:pPr>
      <w:r>
        <w:t xml:space="preserve">Primary Open-Angle Glaucoma remains under-diagnosed despite being a leading cause of irreversible blindness.</w:t>
      </w:r>
    </w:p>
    <w:p>
      <w:pPr>
        <w:pStyle w:val="BodyText"/>
      </w:pPr>
      <w:r>
        <w:t xml:space="preserve">&gt;/table&gt;&gt;</w:t>
      </w:r>
    </w:p>
    <w:bookmarkEnd w:id="26"/>
    <w:bookmarkStart w:id="27" w:name="X8cd35e2c7acf2cead0be2aed4fb3191e6de135c"/>
    <w:p>
      <w:pPr>
        <w:pStyle w:val="Heading2"/>
      </w:pPr>
      <w:r>
        <w:t xml:space="preserve">IV. Discussion: Challenges and Adaptations for Ophthalmologists in Yangon</w:t>
      </w:r>
    </w:p>
    <w:p>
      <w:pPr>
        <w:pStyle w:val="FirstParagraph"/>
      </w:pPr>
      <w:r>
        <w:t xml:space="preserve">&gt;</w:t>
      </w:r>
    </w:p>
    <w:p>
      <w:pPr>
        <w:pStyle w:val="BodyText"/>
      </w:pPr>
      <w:r>
        <w:t xml:space="preserve">A. The Impact of Environmental Factors</w:t>
      </w:r>
      <w:r>
        <w:t xml:space="preserve"> </w:t>
      </w:r>
      <w:r>
        <w:t xml:space="preserve">&lt; p &gt;The laboratory results underscore the critical role of environment in ophthalmic health within Myanmar, Yangon specifically. The tropical climate necessitates a heightened vigilance against fungal and bacterial infections that thrive in moist conditions. For the ophthalmologist operating in this region, empirical treatment protocols must differ from those used in Europe or North America. In Yangon, it is standard laboratory practice to prioritize anti-fungal coverage empirically when corneal ulcers are suspected to have an agricultural origin.</w:t>
      </w:r>
    </w:p>
    <w:p>
      <w:pPr>
        <w:pStyle w:val="BodyText"/>
      </w:pPr>
      <w:r>
        <w:t xml:space="preserve">B. Technological Integration and Resource Management</w:t>
      </w:r>
      <w:r>
        <w:t xml:space="preserve"> </w:t>
      </w:r>
      <w:r>
        <w:t xml:space="preserve">&lt; p &gt;While Yangon boasts state-of-the-art hospitals in its central districts, the disparity in resource availability compared to rural Myanmar remains stark. This laboratory report highlights that ophthalmologists in Yangon must be adept at utilizing portable diagnostic tools (such as handheld ultrasound biomicroscopy) for telemedicine initiatives connecting city specialists with rural clinics. The ability to transmit high-resolution retinal images via mobile networks has significantly improved the diagnostic accuracy for diabetic retinopathy screening across the region.</w:t>
      </w:r>
    </w:p>
    <w:p>
      <w:pPr>
        <w:pStyle w:val="BodyText"/>
      </w:pPr>
      <w:r>
        <w:t xml:space="preserve">C. Socio-Cultural Considerations</w:t>
      </w:r>
      <w:r>
        <w:t xml:space="preserve"> </w:t>
      </w:r>
      <w:r>
        <w:t xml:space="preserve">&lt; p &gt;Cultural beliefs regarding eye health in Myanmar can sometimes delay professional care. Many patients initially seek traditional medicine before presenting to an ophthalmologist in a formal hospital setting. Consequently, laboratory protocols have adapted to include extensive patient education modules upon intake, aiming to demystify procedures like vitrectomy or glaucoma surgery.</w:t>
      </w:r>
    </w:p>
    <w:p>
      <w:pPr>
        <w:pStyle w:val="BodyText"/>
      </w:pPr>
      <w:r>
        <w:t xml:space="preserve">V. Conclusion</w:t>
      </w:r>
      <w:r>
        <w:t xml:space="preserve"> </w:t>
      </w:r>
      <w:r>
        <w:t xml:space="preserve">&lt; p &gt;This lab report confirms that the practice of ophthalmology in Myanmar, Yangon is a dynamic field requiring specialized adaptation to local epidemiological and environmental conditions. The high prevalence of fungal keratitis and trauma-related injuries necessitates robust laboratory microbiological capabilities alongside surgical precision.</w:t>
      </w:r>
    </w:p>
    <w:p>
      <w:pPr>
        <w:pStyle w:val="BodyText"/>
      </w:pPr>
      <w:r>
        <w:t xml:space="preserve">For the ophthalmologist working in this region, success is defined not only by clinical skill but by the ability to integrate advanced diagnostic technologies with practical, resource-aware management strategies. Continued investment in laboratory infrastructure for infectious disease screening and increased access to digital imaging tools will be pivotal in reducing the burden of preventable blindness in Yangon.</w:t>
      </w:r>
    </w:p>
    <w:p>
      <w:pPr>
        <w:pStyle w:val="BodyText"/>
      </w:pPr>
      <w:r>
        <w:t xml:space="preserve">Future studies should focus on longitudinal data tracking of diabetic retinopathy rates as urbanization accelerates, ensuring that ophthalmological services remain responsive to the evolving health needs of the population.</w:t>
      </w:r>
    </w:p>
    <w:p>
      <w:r>
        <w:pict>
          <v:rect style="width:0;height:1.5pt" o:hralign="center" o:hrstd="t" o:hr="t"/>
        </w:pict>
      </w:r>
    </w:p>
    <w:p>
      <w:pPr>
        <w:pStyle w:val="FirstParagraph"/>
      </w:pPr>
      <w:r>
        <w:t xml:space="preserve">VI. References and Data Sources</w:t>
      </w:r>
      <w:r>
        <w:t xml:space="preserve"> </w:t>
      </w:r>
      <w:r>
        <w:t xml:space="preserve">&lt; ul &gt;</w:t>
      </w:r>
      <w:r>
        <w:t xml:space="preserve"> </w:t>
      </w:r>
      <w:r>
        <w:t xml:space="preserve">&lt; li &gt;Yangon Eye Center Annual Statistical Review (Internal Document).</w:t>
      </w:r>
    </w:p>
    <w:p>
      <w:pPr>
        <w:pStyle w:val="BodyText"/>
      </w:pPr>
      <w:r>
        <w:t xml:space="preserve">Myanmar Medical Association Guidelines on Ophthalmic Infectious Diseases.</w:t>
      </w:r>
    </w:p>
    <w:p>
      <w:pPr>
        <w:pStyle w:val="BodyText"/>
      </w:pPr>
      <w:r>
        <w:t xml:space="preserve">National Health Database Reports: Infectious vs. Non-Communicable Eye Diseases in Urban Myanmar.</w:t>
      </w:r>
    </w:p>
    <w:p>
      <w:pPr>
        <w:pStyle w:val="BodyText"/>
      </w:pPr>
      <w:r>
        <w:t xml:space="preserve">&gt;/ul&gt;&gt;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Ophthalmological Laboratory Report: Yangon, Myanmar</dc:title>
  <dc:creator/>
  <dc:language>en</dc:language>
  <cp:keywords/>
  <dcterms:created xsi:type="dcterms:W3CDTF">2026-07-29T16:34:25Z</dcterms:created>
  <dcterms:modified xsi:type="dcterms:W3CDTF">2026-07-29T16:34:25Z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