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Ophthalmic</w:t>
      </w:r>
      <w:r>
        <w:t xml:space="preserve"> </w:t>
      </w:r>
      <w:r>
        <w:t xml:space="preserve">Assessment</w:t>
      </w:r>
      <w:r>
        <w:t xml:space="preserve"> </w:t>
      </w:r>
      <w:r>
        <w:t xml:space="preserve">Protocols</w:t>
      </w:r>
      <w:r>
        <w:t xml:space="preserve"> </w:t>
      </w:r>
      <w:r>
        <w:t xml:space="preserve">for</w:t>
      </w:r>
      <w:r>
        <w:t xml:space="preserve"> </w:t>
      </w:r>
      <w:r>
        <w:t xml:space="preserve">Specialized</w:t>
      </w:r>
      <w:r>
        <w:t xml:space="preserve"> </w:t>
      </w:r>
      <w:r>
        <w:t xml:space="preserve">Care</w:t>
      </w:r>
      <w:r>
        <w:t xml:space="preserve"> </w:t>
      </w:r>
      <w:r>
        <w:t xml:space="preserve">in</w:t>
      </w:r>
      <w:r>
        <w:t xml:space="preserve"> </w:t>
      </w:r>
      <w:r>
        <w:t xml:space="preserve">Qatar,</w:t>
      </w:r>
      <w:r>
        <w:t xml:space="preserve"> </w:t>
      </w:r>
      <w:r>
        <w:t xml:space="preserve">Doha</w:t>
      </w:r>
    </w:p>
    <w:bookmarkStart w:id="31" w:name="X32544cc975f48f19fa7242767d026133cbffd71"/>
    <w:p>
      <w:pPr>
        <w:pStyle w:val="Heading1"/>
      </w:pPr>
      <w:r>
        <w:t xml:space="preserve">Laboratory Report: Ophthalmic Diagnostic Standards and Clinical Integration in Qatar, Doha</w:t>
      </w:r>
    </w:p>
    <w:p>
      <w:pPr>
        <w:pStyle w:val="FirstParagraph"/>
      </w:pPr>
      <w:r>
        <w:t xml:space="preserve">Date of Report:</w:t>
      </w:r>
    </w:p>
    <w:p>
      <w:pPr>
        <w:pStyle w:val="BodyText"/>
      </w:pPr>
      <w:r>
        <w:t xml:space="preserve">October 26, 2023</w:t>
      </w:r>
    </w:p>
    <w:p>
      <w:pPr>
        <w:pStyle w:val="BodyText"/>
      </w:pPr>
      <w:r>
        <w:t xml:space="preserve">Prepared For:</w:t>
      </w:r>
    </w:p>
    <w:p>
      <w:pPr>
        <w:pStyle w:val="BodyText"/>
      </w:pPr>
      <w:r>
        <w:t xml:space="preserve">Ministry of Public Health &amp; Regional Medical Administrations in Qatar, Doha</w:t>
      </w:r>
    </w:p>
    <w:p>
      <w:pPr>
        <w:pStyle w:val="BodyText"/>
      </w:pPr>
      <w:r>
        <w:t xml:space="preserve">Subject:</w:t>
      </w:r>
    </w:p>
    <w:p>
      <w:pPr>
        <w:pStyle w:val="BodyText"/>
      </w:pPr>
      <w:r>
        <w:t xml:space="preserve">Integration of Advanced Ophthalmologist Services within Local Healthcare Infrastructure</w:t>
      </w:r>
    </w:p>
    <w:bookmarkStart w:id="20" w:name="executive-summary"/>
    <w:p>
      <w:pPr>
        <w:pStyle w:val="Heading2"/>
      </w:pPr>
      <w:r>
        <w:t xml:space="preserve">1. Executive Summary</w:t>
      </w:r>
    </w:p>
    <w:p>
      <w:pPr>
        <w:pStyle w:val="FirstParagraph"/>
      </w:pPr>
      <w:r>
        <w:t xml:space="preserve">This laboratory report serves as a comprehensive analytical document detailing the current state, required protocols, and future trajectories of ophthalmic care within the rapidly evolving healthcare landscape of Qatar, Doha. As part of the broader National Vision 2030 initiative aimed at achieving sustainable development and improving public health outcomes, the integration of specialized medical services is paramount. This document focuses specifically on the role of the</w:t>
      </w:r>
      <w:r>
        <w:t xml:space="preserve"> </w:t>
      </w:r>
      <w:r>
        <w:rPr>
          <w:bCs/>
          <w:b/>
        </w:rPr>
        <w:t xml:space="preserve">Ophthalmologist</w:t>
      </w:r>
      <w:r>
        <w:t xml:space="preserve"> </w:t>
      </w:r>
      <w:r>
        <w:t xml:space="preserve">in maintaining and enhancing visual health across diverse demographic groups in Qatar, Doha. The report analyzes diagnostic laboratory requirements, technological integration, patient demographic trends specific to this region, and regulatory compliance necessary for high-standard eye care.</w:t>
      </w:r>
    </w:p>
    <w:bookmarkEnd w:id="20"/>
    <w:bookmarkStart w:id="21" w:name="X5c18a4668da8f6ad30e002d7ab21e8a7523f9c5"/>
    <w:p>
      <w:pPr>
        <w:pStyle w:val="Heading2"/>
      </w:pPr>
      <w:r>
        <w:t xml:space="preserve">2. Introduction: The Context of Eye Care in Qatar</w:t>
      </w:r>
    </w:p>
    <w:p>
      <w:pPr>
        <w:pStyle w:val="FirstParagraph"/>
      </w:pPr>
      <w:r>
        <w:t xml:space="preserve">The healthcare system in Qatar has undergone significant transformation over the past decade, shifting towards a more sophisticated, technology-driven model that prioritizes preventative care and specialized diagnostics. In this context, the demand for qualified medical professionals capable of diagnosing and treating complex ocular conditions has risen sharply. The</w:t>
      </w:r>
      <w:r>
        <w:t xml:space="preserve"> </w:t>
      </w:r>
      <w:r>
        <w:rPr>
          <w:bCs/>
          <w:b/>
        </w:rPr>
        <w:t xml:space="preserve">Ophthalmologist</w:t>
      </w:r>
      <w:r>
        <w:t xml:space="preserve"> </w:t>
      </w:r>
      <w:r>
        <w:t xml:space="preserve">plays a critical role not only in treating vision impairments but also in managing systemic diseases that manifest in the eye, such as diabetes mellitus and hypertension, which are prevalent concerns within the population of Qatar, Doha.</w:t>
      </w:r>
    </w:p>
    <w:p>
      <w:pPr>
        <w:pStyle w:val="BodyText"/>
      </w:pPr>
      <w:r>
        <w:t xml:space="preserve">This report aims to establish a standardized framework for laboratory testing and clinical observation that supports ophthalmic practitioners. By aligning local practices with international gold standards, Qatar can ensure that its citizens and residents receive equitable, high-quality eye care. The unique geographical and climatic conditions of Qatar, Doha—characterized by high humidity, intense solar radiation, and dusty environments—also present specific challenges for ocular health, necessitating tailored diagnostic approaches.</w:t>
      </w:r>
    </w:p>
    <w:bookmarkEnd w:id="21"/>
    <w:bookmarkStart w:id="25" w:name="X27249026e7a86af1efa58c974909f710ac85be6"/>
    <w:p>
      <w:pPr>
        <w:pStyle w:val="Heading2"/>
      </w:pPr>
      <w:r>
        <w:t xml:space="preserve">3. Laboratory Diagnostic Protocols for Ophthalmic Assessment</w:t>
      </w:r>
    </w:p>
    <w:p>
      <w:pPr>
        <w:pStyle w:val="FirstParagraph"/>
      </w:pPr>
      <w:r>
        <w:t xml:space="preserve">A robust laboratory infrastructure is essential to support the clinical decisions made by an</w:t>
      </w:r>
      <w:r>
        <w:t xml:space="preserve"> </w:t>
      </w:r>
      <w:r>
        <w:rPr>
          <w:bCs/>
          <w:b/>
        </w:rPr>
        <w:t xml:space="preserve">Ophthalmologist</w:t>
      </w:r>
      <w:r>
        <w:t xml:space="preserve">. In Qatar, Doha, modern ophthalmology laboratories must be equipped with advanced imaging and diagnostic tools. The following components are critical:</w:t>
      </w:r>
    </w:p>
    <w:bookmarkStart w:id="22" w:name="X0c2985feae1a4a65435e147200e7fddc0a36913"/>
    <w:p>
      <w:pPr>
        <w:pStyle w:val="Heading3"/>
      </w:pPr>
      <w:r>
        <w:t xml:space="preserve">3.1 Optical Coherence Tomography (OCT) Integration</w:t>
      </w:r>
    </w:p>
    <w:p>
      <w:pPr>
        <w:pStyle w:val="FirstParagraph"/>
      </w:pPr>
      <w:r>
        <w:t xml:space="preserve">OCT is a non-invasive imaging test that uses light waves to take cross-section pictures of the retina. In the context of Qatar, Doha, where genetic predispositions to certain retinal diseases may exist within specific family lineages, OCT is vital for early detection of conditions like Age-Related Macular Degeneration (AMD) and Diabetic Retinopathy. The laboratory report recommends that all major ophthalmology centers in Qatar establish standardized OCT protocols to ensure consistency in diagnosis across different facilities.</w:t>
      </w:r>
    </w:p>
    <w:bookmarkEnd w:id="22"/>
    <w:bookmarkStart w:id="23" w:name="X218a841695880aa871eb05a110424a8b2c72161"/>
    <w:p>
      <w:pPr>
        <w:pStyle w:val="Heading3"/>
      </w:pPr>
      <w:r>
        <w:t xml:space="preserve">3.2 Fundus Photography and Fluorescein Angiography</w:t>
      </w:r>
    </w:p>
    <w:p>
      <w:pPr>
        <w:pStyle w:val="FirstParagraph"/>
      </w:pPr>
      <w:r>
        <w:t xml:space="preserve">Digital fundus photography allows for the documentation of retinal health over time. For an</w:t>
      </w:r>
      <w:r>
        <w:t xml:space="preserve"> </w:t>
      </w:r>
      <w:r>
        <w:rPr>
          <w:bCs/>
          <w:b/>
        </w:rPr>
        <w:t xml:space="preserve">Ophthalmologist</w:t>
      </w:r>
      <w:r>
        <w:t xml:space="preserve">, having a longitudinal record of a patient’s retinal status is invaluable, particularly in managing chronic conditions. Furthermore, fluorescein angiography remains the gold standard for assessing blood flow in the retina and choroid. Laboratories in Qatar must ensure that they have adequate supplies of contrast agents and adhere to strict safety protocols for administering these dyes.</w:t>
      </w:r>
    </w:p>
    <w:bookmarkEnd w:id="23"/>
    <w:bookmarkStart w:id="24" w:name="genetic-testing-capabilities"/>
    <w:p>
      <w:pPr>
        <w:pStyle w:val="Heading3"/>
      </w:pPr>
      <w:r>
        <w:t xml:space="preserve">3.4 Genetic Testing Capabilities</w:t>
      </w:r>
    </w:p>
    <w:p>
      <w:pPr>
        <w:pStyle w:val="FirstParagraph"/>
      </w:pPr>
      <w:r>
        <w:t xml:space="preserve">Given the high rate of consanguinity in parts of the population in Qatar, Doha, there is a significant prevalence of inherited ocular disorders such as retinitis pigmentosa and congenital glaucoma. The laboratory report suggests expanding genetic testing capabilities to include comprehensive panels for ocular mutations. This proactive approach allows an</w:t>
      </w:r>
      <w:r>
        <w:t xml:space="preserve"> </w:t>
      </w:r>
      <w:r>
        <w:rPr>
          <w:bCs/>
          <w:b/>
        </w:rPr>
        <w:t xml:space="preserve">Ophthalmologist</w:t>
      </w:r>
      <w:r>
        <w:t xml:space="preserve"> </w:t>
      </w:r>
      <w:r>
        <w:t xml:space="preserve">to provide accurate counseling regarding inheritance risks and potential future treatments, including gene therapy trials.</w:t>
      </w:r>
    </w:p>
    <w:bookmarkEnd w:id="24"/>
    <w:bookmarkEnd w:id="25"/>
    <w:bookmarkStart w:id="26" w:name="Xdeac1f99077745afd47198967ad06d96097ad7e"/>
    <w:p>
      <w:pPr>
        <w:pStyle w:val="Heading2"/>
      </w:pPr>
      <w:r>
        <w:t xml:space="preserve">4. Demographic Considerations and Public Health Implications</w:t>
      </w:r>
    </w:p>
    <w:p>
      <w:pPr>
        <w:pStyle w:val="FirstParagraph"/>
      </w:pPr>
      <w:r>
        <w:t xml:space="preserve">The demographic profile of Qatar, Doha is unique, comprising a large expatriate workforce alongside Qatari nationals. This diversity impacts the epidemiology of eye diseases in several ways:</w:t>
      </w:r>
    </w:p>
    <w:p>
      <w:pPr>
        <w:numPr>
          <w:ilvl w:val="0"/>
          <w:numId w:val="1001"/>
        </w:numPr>
        <w:pStyle w:val="Compact"/>
      </w:pPr>
      <w:r>
        <w:rPr>
          <w:bCs/>
          <w:b/>
        </w:rPr>
        <w:t xml:space="preserve">Digital Eye Strain:</w:t>
      </w:r>
      <w:r>
        <w:t xml:space="preserve"> </w:t>
      </w:r>
      <w:r>
        <w:t xml:space="preserve">With rapid urbanization and high internet penetration in Qatar, Doha, there is a marked increase in cases of digital eye strain among young professionals and students.</w:t>
      </w:r>
    </w:p>
    <w:p>
      <w:pPr>
        <w:numPr>
          <w:ilvl w:val="0"/>
          <w:numId w:val="1001"/>
        </w:numPr>
        <w:pStyle w:val="Compact"/>
      </w:pPr>
      <w:r>
        <w:rPr>
          <w:bCs/>
          <w:b/>
        </w:rPr>
        <w:t xml:space="preserve">Trauma Prevention:</w:t>
      </w:r>
      <w:r>
        <w:t xml:space="preserve"> </w:t>
      </w:r>
      <w:r>
        <w:t xml:space="preserve">Construction-related accidents are a concern. The laboratory report emphasizes the need for emergency ophthalmic care protocols specifically designed to handle traumatic injuries common in industrial zones surrounding Qatar, Doha.</w:t>
      </w:r>
    </w:p>
    <w:p>
      <w:pPr>
        <w:numPr>
          <w:ilvl w:val="0"/>
          <w:numId w:val="1001"/>
        </w:numPr>
        <w:pStyle w:val="Compact"/>
      </w:pPr>
      <w:r>
        <w:rPr>
          <w:bCs/>
          <w:b/>
        </w:rPr>
        <w:t xml:space="preserve">Infectious Diseases:</w:t>
      </w:r>
      <w:r>
        <w:t xml:space="preserve"> </w:t>
      </w:r>
      <w:r>
        <w:t xml:space="preserve">While rare due to excellent hygiene standards in Qatar, Doha, the potential for infectious keratitis remains due to environmental factors like sandstorms. Laboratories must maintain cultures ready for rapid identification of bacterial and fungal pathogens.</w:t>
      </w:r>
    </w:p>
    <w:bookmarkEnd w:id="26"/>
    <w:bookmarkStart w:id="27" w:name="X9ebb075390be1c85a6952563dc5c673c67b8c03"/>
    <w:p>
      <w:pPr>
        <w:pStyle w:val="Heading2"/>
      </w:pPr>
      <w:r>
        <w:t xml:space="preserve">5. Technological Infrastructure and Telemedicine</w:t>
      </w:r>
    </w:p>
    <w:p>
      <w:pPr>
        <w:pStyle w:val="FirstParagraph"/>
      </w:pPr>
      <w:r>
        <w:t xml:space="preserve">To maximize the reach of an</w:t>
      </w:r>
      <w:r>
        <w:t xml:space="preserve"> </w:t>
      </w:r>
      <w:r>
        <w:rPr>
          <w:bCs/>
          <w:b/>
        </w:rPr>
        <w:t xml:space="preserve">Ophthalmologist</w:t>
      </w:r>
      <w:r>
        <w:t xml:space="preserve">, particularly in rural areas outside the central hub of Qatar, Doha, telemedicine integration is recommended. Laboratory results from remote diagnostic centers should be digitally integrated into a central health record system accessible by specialists in the capital. This ensures that a patient living in Al Wakrah or Umm Salal can benefit from the expertise of top-tier</w:t>
      </w:r>
      <w:r>
        <w:t xml:space="preserve"> </w:t>
      </w:r>
      <w:r>
        <w:rPr>
          <w:bCs/>
          <w:b/>
        </w:rPr>
        <w:t xml:space="preserve">Ophthalmologist</w:t>
      </w:r>
      <w:r>
        <w:t xml:space="preserve">s based in Doha without immediate travel, although severe cases would still require physical referral.</w:t>
      </w:r>
    </w:p>
    <w:bookmarkEnd w:id="27"/>
    <w:bookmarkStart w:id="28" w:name="Xfd6c0bd97f3326077207f184e0151b9cadf8202"/>
    <w:p>
      <w:pPr>
        <w:pStyle w:val="Heading2"/>
      </w:pPr>
      <w:r>
        <w:t xml:space="preserve">6. Regulatory Compliance and Ethical Standards</w:t>
      </w:r>
    </w:p>
    <w:p>
      <w:pPr>
        <w:pStyle w:val="FirstParagraph"/>
      </w:pPr>
      <w:r>
        <w:t xml:space="preserve">All laboratory procedures supporting ophthalmic care in Qatar, Doha must comply with the regulations set forth by the Ministry of Public Health. This includes strict adherence to infection control measures, accurate calibration of diagnostic equipment, and ethical handling of patient data. The privacy laws in Qatar mandate that personal health information be stored securely. An</w:t>
      </w:r>
      <w:r>
        <w:t xml:space="preserve"> </w:t>
      </w:r>
      <w:r>
        <w:rPr>
          <w:bCs/>
          <w:b/>
        </w:rPr>
        <w:t xml:space="preserve">Ophthalmologist</w:t>
      </w:r>
      <w:r>
        <w:t xml:space="preserve"> </w:t>
      </w:r>
      <w:r>
        <w:t xml:space="preserve">must ensure that their laboratory partners are fully accredited and regularly audited to maintain the highest standards of care.</w:t>
      </w:r>
    </w:p>
    <w:bookmarkEnd w:id="28"/>
    <w:bookmarkStart w:id="29" w:name="recommendations-for-future-development"/>
    <w:p>
      <w:pPr>
        <w:pStyle w:val="Heading2"/>
      </w:pPr>
      <w:r>
        <w:t xml:space="preserve">7. Recommendations for Future Development</w:t>
      </w:r>
    </w:p>
    <w:p>
      <w:pPr>
        <w:pStyle w:val="FirstParagraph"/>
      </w:pPr>
      <w:r>
        <w:t xml:space="preserve">To further enhance ophthalmic services in Qatar, Doha, this report recommends:</w:t>
      </w:r>
    </w:p>
    <w:p>
      <w:pPr>
        <w:numPr>
          <w:ilvl w:val="0"/>
          <w:numId w:val="1002"/>
        </w:numPr>
        <w:pStyle w:val="Compact"/>
      </w:pPr>
      <w:r>
        <w:rPr>
          <w:bCs/>
          <w:b/>
        </w:rPr>
        <w:t xml:space="preserve">Specialized Training Programs:</w:t>
      </w:r>
      <w:r>
        <w:t xml:space="preserve"> </w:t>
      </w:r>
      <w:r>
        <w:t xml:space="preserve">Establishing fellowship programs in Qatar focused on subspecialties such as pediatric ophthalmology and neuro-ophthalmology to reduce reliance on overseas training for senior staff.</w:t>
      </w:r>
    </w:p>
    <w:p>
      <w:pPr>
        <w:numPr>
          <w:ilvl w:val="0"/>
          <w:numId w:val="1002"/>
        </w:numPr>
        <w:pStyle w:val="Compact"/>
      </w:pPr>
      <w:r>
        <w:rPr>
          <w:bCs/>
          <w:b/>
        </w:rPr>
        <w:t xml:space="preserve">Patient Education Campaigns:</w:t>
      </w:r>
      <w:r>
        <w:t xml:space="preserve"> </w:t>
      </w:r>
      <w:r>
        <w:t xml:space="preserve">Launching public awareness campaigns in Arabic and English about the importance of regular eye exams, specifically targeting diabetic patients in Qatar, Doha.</w:t>
      </w:r>
    </w:p>
    <w:p>
      <w:pPr>
        <w:numPr>
          <w:ilvl w:val="0"/>
          <w:numId w:val="1002"/>
        </w:numPr>
        <w:pStyle w:val="Compact"/>
      </w:pPr>
      <w:r>
        <w:rPr>
          <w:bCs/>
          <w:b/>
        </w:rPr>
        <w:t xml:space="preserve">R&amp;D Collaboration:</w:t>
      </w:r>
      <w:r>
        <w:t xml:space="preserve"> </w:t>
      </w:r>
      <w:r>
        <w:t xml:space="preserve">Encouraging collaboration between local universities and international research institutions to study ocular health trends specific to the Gulf region.</w:t>
      </w:r>
    </w:p>
    <w:bookmarkEnd w:id="29"/>
    <w:bookmarkStart w:id="30" w:name="conclusion"/>
    <w:p>
      <w:pPr>
        <w:pStyle w:val="Heading2"/>
      </w:pPr>
      <w:r>
        <w:t xml:space="preserve">8. Conclusion</w:t>
      </w:r>
    </w:p>
    <w:p>
      <w:pPr>
        <w:pStyle w:val="FirstParagraph"/>
      </w:pPr>
      <w:r>
        <w:t xml:space="preserve">The role of the laboratory in supporting ophthalmic care is foundational. For an</w:t>
      </w:r>
      <w:r>
        <w:t xml:space="preserve"> </w:t>
      </w:r>
      <w:r>
        <w:rPr>
          <w:bCs/>
          <w:b/>
        </w:rPr>
        <w:t xml:space="preserve">Ophthalmologist</w:t>
      </w:r>
      <w:r>
        <w:t xml:space="preserve"> </w:t>
      </w:r>
      <w:r>
        <w:t xml:space="preserve">practicing in Qatar, Doha, access to precise, timely, and comprehensive diagnostic data is essential for effective patient management. By investing in advanced laboratory infrastructure, embracing telemedicine technologies, and adhering to rigorous regulatory standards, Qatar can position itself as a regional leader in eye care. This report underscores the necessity of aligning laboratory capabilities with clinical needs to ensure that all residents of Qatar enjoy optimal visual health outcomes.</w:t>
      </w:r>
    </w:p>
    <w:p>
      <w:pPr>
        <w:pStyle w:val="BodyText"/>
      </w:pPr>
      <w:r>
        <w:br/>
      </w:r>
    </w:p>
    <w:p>
      <w:pPr>
        <w:pStyle w:val="BodyText"/>
      </w:pPr>
      <w:r>
        <w:rPr>
          <w:iCs/>
          <w:i/>
        </w:rPr>
        <w:t xml:space="preserve">This document concludes the analysis of laboratory protocols for ophthalmic services in Qatar,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Ophthalmic Assessment Protocols for Specialized Care in Qatar, Doha</dc:title>
  <dc:creator/>
  <cp:keywords/>
  <dcterms:created xsi:type="dcterms:W3CDTF">2026-07-29T06:50:46Z</dcterms:created>
  <dcterms:modified xsi:type="dcterms:W3CDTF">2026-07-29T06:50:46Z</dcterms:modified>
</cp:coreProperties>
</file>

<file path=docProps/custom.xml><?xml version="1.0" encoding="utf-8"?>
<Properties xmlns="http://schemas.openxmlformats.org/officeDocument/2006/custom-properties" xmlns:vt="http://schemas.openxmlformats.org/officeDocument/2006/docPropsVTypes"/>
</file>