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Lab</w:t>
      </w:r>
      <w:r>
        <w:t xml:space="preserve"> </w:t>
      </w:r>
      <w:r>
        <w:t xml:space="preserve">Report:</w:t>
      </w:r>
      <w:r>
        <w:t xml:space="preserve"> </w:t>
      </w:r>
      <w:r>
        <w:t xml:space="preserve">Clinical</w:t>
      </w:r>
      <w:r>
        <w:t xml:space="preserve"> </w:t>
      </w:r>
      <w:r>
        <w:t xml:space="preserve">Standards</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Clinical Research, Federal Medical-Biological Agency</w:t>
      </w:r>
      <w:r>
        <w:br/>
      </w:r>
      <w:r>
        <w:t xml:space="preserve">: Senior Ophthalmologist and Lab Director</w:t>
      </w:r>
      <w:r>
        <w:br/>
      </w:r>
      <w:r>
        <w:t xml:space="preserve">: Comprehensive Analysis of Diagnostic Protocols and Patient Care Standards for an Ophthalmologist Operating in Russia, Moscow</w:t>
      </w:r>
    </w:p>
    <w:bookmarkStart w:id="28" w:name="Xf24405137c14f02adae72e888d3cbc4779b7443"/>
    <w:p>
      <w:pPr>
        <w:pStyle w:val="Heading1"/>
      </w:pPr>
      <w:r>
        <w:t xml:space="preserve">Ophthalmology Lab Report: Clinical Standards in Russia, Moscow</w:t>
      </w:r>
    </w:p>
    <w:bookmarkStart w:id="20" w:name="executive-summary"/>
    <w:p>
      <w:pPr>
        <w:pStyle w:val="Heading2"/>
      </w:pPr>
      <w:r>
        <w:t xml:space="preserve">1. Executive Summary</w:t>
      </w:r>
    </w:p>
    <w:p>
      <w:pPr>
        <w:pStyle w:val="FirstParagraph"/>
      </w:pPr>
      <w:r>
        <w:t xml:space="preserve">This document serves as a comprehensive lab report detailing the operational framework, diagnostic precision, and clinical standards required for an Ophthalmologist practicing within the specific socio-economic and healthcare context of Russia, Moscow. The primary objective of this report is to outline the rigorous expectations placed upon medical professionals specializing in eye care in one of Europe's most densely populated capitals. As an Ophthalmologist in Russia, Moscow, practitioners must navigate a dual-system healthcare landscape comprising state-funded facilities (OMS) and high-end private clinics (DMS). This report analyzes the technological requirements, regulatory compliance standards, and patient demographic characteristics that define modern ophthalmic practice in this region.</w:t>
      </w:r>
    </w:p>
    <w:bookmarkEnd w:id="20"/>
    <w:bookmarkStart w:id="21" w:name="introduction-and-contextual-background"/>
    <w:p>
      <w:pPr>
        <w:pStyle w:val="Heading2"/>
      </w:pPr>
      <w:r>
        <w:t xml:space="preserve">2. Introduction and Contextual Background</w:t>
      </w:r>
    </w:p>
    <w:p>
      <w:pPr>
        <w:pStyle w:val="FirstParagraph"/>
      </w:pPr>
      <w:r>
        <w:t xml:space="preserve">The role of an Ophthalmologist extends beyond simple vision correction; it involves the diagnosis and treatment of complex ocular pathologies ranging from cataracts and glaucoma to retinal detachments and diabetic retinopathy. In Russia, Moscow, the prevalence of these conditions is influenced by distinct demographic factors, including a significant aging population in certain districts and a younger demographic in business centers requiring high digital literacy support. Furthermore, the harsh climatic conditions of Moscow during winter months—characterized by extreme cold and wind—can exacerbate dry eye syndrome (Keratoconjunctivitis Sicca), necessitating specialized diagnostic approaches that an Ophthalmologist must be adept at managing.</w:t>
      </w:r>
    </w:p>
    <w:p>
      <w:pPr>
        <w:pStyle w:val="BodyText"/>
      </w:pPr>
      <w:r>
        <w:t xml:space="preserve">This report aims to establish a baseline for laboratory-style clinical audits, ensuring that any Ophthalmologist working in Russia, Moscow adheres to both international best practices and local regulatory mandates established by the Ministry of Health of the Russian Federation. The integration of advanced diagnostic technology with traditional clinical examination remains critical in maintaining high standards of care.</w:t>
      </w:r>
    </w:p>
    <w:bookmarkEnd w:id="21"/>
    <w:bookmarkStart w:id="22" w:name="Xb63c365af7f99d73b1b2820c5d473f3e27e1bd0"/>
    <w:p>
      <w:pPr>
        <w:pStyle w:val="Heading2"/>
      </w:pPr>
      <w:r>
        <w:t xml:space="preserve">3. Diagnostic Infrastructure and Technological Requirements</w:t>
      </w:r>
    </w:p>
    <w:p>
      <w:pPr>
        <w:pStyle w:val="FirstParagraph"/>
      </w:pPr>
      <w:r>
        <w:t xml:space="preserve">To function effectively as an Ophthalmologist in Russia, Moscow, access to specific diagnostic hardware is not merely a convenience but a clinical necessity. The lab report identifies several key technological pillars:</w:t>
      </w:r>
    </w:p>
    <w:p>
      <w:pPr>
        <w:numPr>
          <w:ilvl w:val="0"/>
          <w:numId w:val="1001"/>
        </w:numPr>
        <w:pStyle w:val="Compact"/>
      </w:pPr>
      <w:r>
        <w:rPr>
          <w:bCs/>
          <w:b/>
        </w:rPr>
        <w:t xml:space="preserve">OCT (Optical Coherence Tomography):</w:t>
      </w:r>
      <w:r>
        <w:t xml:space="preserve"> </w:t>
      </w:r>
      <w:r>
        <w:t xml:space="preserve">High-resolution anterior and posterior segment imaging is standard. In Moscow, where high-volume patient throughput is common in major clinics, the ability to rapidly scan and interpret OCT data is essential for differentiating between glaucomatous changes and age-related macular degeneration.</w:t>
      </w:r>
    </w:p>
    <w:p>
      <w:pPr>
        <w:numPr>
          <w:ilvl w:val="0"/>
          <w:numId w:val="1001"/>
        </w:numPr>
        <w:pStyle w:val="Compact"/>
      </w:pPr>
      <w:r>
        <w:rPr>
          <w:bCs/>
          <w:b/>
        </w:rPr>
        <w:t xml:space="preserve">Visual Field Testing (Perimetry):</w:t>
      </w:r>
      <w:r>
        <w:t xml:space="preserve"> </w:t>
      </w:r>
      <w:r>
        <w:t xml:space="preserve">Automated static perimetry remains the gold standard for glaucoma management. An Ophthalmologist must ensure that patients are properly coached, as language barriers or lack of familiarity with testing protocols can skew results in a multicultural city like Moscow.</w:t>
      </w:r>
    </w:p>
    <w:p>
      <w:pPr>
        <w:numPr>
          <w:ilvl w:val="0"/>
          <w:numId w:val="1001"/>
        </w:numPr>
        <w:pStyle w:val="Compact"/>
      </w:pPr>
      <w:r>
        <w:rPr>
          <w:bCs/>
          <w:b/>
        </w:rPr>
        <w:t xml:space="preserve">Slit-Lamp Biomicroscopy:</w:t>
      </w:r>
      <w:r>
        <w:t xml:space="preserve"> </w:t>
      </w:r>
      <w:r>
        <w:t xml:space="preserve">Advanced slit-lamps with digital integration allow for documentation and telemedicine consultations, a growing trend in the Russian healthcare system post-pandemic.</w:t>
      </w:r>
    </w:p>
    <w:p>
      <w:pPr>
        <w:numPr>
          <w:ilvl w:val="0"/>
          <w:numId w:val="1001"/>
        </w:numPr>
        <w:pStyle w:val="Compact"/>
      </w:pPr>
      <w:r>
        <w:rPr>
          <w:bCs/>
          <w:b/>
        </w:rPr>
        <w:t xml:space="preserve">Tonometry:</w:t>
      </w:r>
      <w:r>
        <w:t xml:space="preserve"> </w:t>
      </w:r>
      <w:r>
        <w:t xml:space="preserve">Both Goldmann applanation tonometry (for precision) and non-contact tonometry (for screening) are required. Given the high prevalence of primary open-angle glaucoma in Eastern European populations, rigorous IOP monitoring is a core duty of any Ophthalmologist.</w:t>
      </w:r>
    </w:p>
    <w:bookmarkEnd w:id="22"/>
    <w:bookmarkStart w:id="23" w:name="X4bc4b1c7ef29040b8a00b7c589cb9a284653636"/>
    <w:p>
      <w:pPr>
        <w:pStyle w:val="Heading2"/>
      </w:pPr>
      <w:r>
        <w:t xml:space="preserve">4. Regulatory Compliance and Legal Framework</w:t>
      </w:r>
    </w:p>
    <w:p>
      <w:pPr>
        <w:pStyle w:val="FirstParagraph"/>
      </w:pPr>
      <w:r>
        <w:t xml:space="preserve">An Ophthalmologist practicing in Russia, Moscow, must strictly adhere to federal laws governing medical practice. Key regulations include the Federal Law "On the Fundamentals of Health Protection of Citizens in the Russian Federation." This legislation mandates strict sterilization protocols, informed consent procedures (which must be bilingual or clearly explained if dealing with expatriates), and precise record-keeping.</w:t>
      </w:r>
    </w:p>
    <w:p>
      <w:pPr>
        <w:pStyle w:val="BodyText"/>
      </w:pPr>
      <w:r>
        <w:t xml:space="preserve">The lab report notes that Moscow has become a hub for medical tourism. Consequently, Ophthalmologists often encounter patients from CIS countries who require continuity of care that meets European Union standards. This requires meticulous documentation in electronic health records (EHR) systems that are compatible with international formats while remaining compliant with Russian data sovereignty laws.</w:t>
      </w:r>
    </w:p>
    <w:bookmarkEnd w:id="23"/>
    <w:bookmarkStart w:id="24" w:name="X7971fe6cd0d1c3d9d709f21300b5fcb9575e933"/>
    <w:p>
      <w:pPr>
        <w:pStyle w:val="Heading2"/>
      </w:pPr>
      <w:r>
        <w:t xml:space="preserve">5. Clinical Case Study: Management of Complex Cataracts</w:t>
      </w:r>
    </w:p>
    <w:p>
      <w:pPr>
        <w:pStyle w:val="FirstParagraph"/>
      </w:pPr>
      <w:r>
        <w:t xml:space="preserve">To illustrate the practical application of these standards, we present a summary case typical for an Ophthalmologist in Russia, Moscow. The patient, a 68-year-old male resident of the Central Administrative Okrug, presented with progressive vision loss and glare sensitivity.</w:t>
      </w:r>
    </w:p>
    <w:p>
      <w:pPr>
        <w:pStyle w:val="BodyText"/>
      </w:pPr>
      <w:r>
        <w:rPr>
          <w:bCs/>
          <w:b/>
        </w:rPr>
        <w:t xml:space="preserve">Diagnostic Findings:</w:t>
      </w:r>
      <w:r>
        <w:t xml:space="preserve"> </w:t>
      </w:r>
      <w:r>
        <w:t xml:space="preserve">Upon initial examination by the Ophthalmologist, ultrasound biomicroscopy revealed early lens opacity (cataract) without significant comorbidities. However, OCT imaging indicated mild macular edema, a complication that requires careful pre-operative management. In Moscow's competitive private sector, patient expectations for premium intraocular lenses (IOLs) are high.</w:t>
      </w:r>
    </w:p>
    <w:p>
      <w:pPr>
        <w:pStyle w:val="BodyText"/>
      </w:pPr>
      <w:r>
        <w:rPr>
          <w:bCs/>
          <w:b/>
        </w:rPr>
        <w:t xml:space="preserve">Intervention:</w:t>
      </w:r>
      <w:r>
        <w:t xml:space="preserve"> </w:t>
      </w:r>
      <w:r>
        <w:t xml:space="preserve">The Ophthalmologist recommended phacoemulsification with the implantation of a multifocal toric IOL to address both the cataract and pre-existing astigmatism. Post-operative care involved a rigorous regimen of antibiotic and anti-inflammatory drops. Follow-up visits at 1 day, 1 week, and 1 month were conducted using digital fundus photography to monitor retinal health.</w:t>
      </w:r>
    </w:p>
    <w:p>
      <w:pPr>
        <w:pStyle w:val="BodyText"/>
      </w:pPr>
      <w:r>
        <w:rPr>
          <w:bCs/>
          <w:b/>
        </w:rPr>
        <w:t xml:space="preserve">Outcome:</w:t>
      </w:r>
      <w:r>
        <w:t xml:space="preserve"> </w:t>
      </w:r>
      <w:r>
        <w:t xml:space="preserve">The patient achieved uncorrected visual acuity of 20/20. This case highlights the Ophthalmologist’s role not just as a surgeon, but as a counselor guiding patients through technological choices available in the Moscow market.</w:t>
      </w:r>
    </w:p>
    <w:bookmarkEnd w:id="24"/>
    <w:bookmarkStart w:id="25" w:name="X18ccf40db879e55fb5ac667738d8139bea89ceb"/>
    <w:p>
      <w:pPr>
        <w:pStyle w:val="Heading2"/>
      </w:pPr>
      <w:r>
        <w:t xml:space="preserve">6. Occupational Challenges and Environmental Factors</w:t>
      </w:r>
    </w:p>
    <w:p>
      <w:pPr>
        <w:pStyle w:val="FirstParagraph"/>
      </w:pPr>
      <w:r>
        <w:t xml:space="preserve">The environment in Russia, Moscow presents unique challenges for eye health professionals. Urban air pollution, particularly particulate matter (PM2.5), contributes to a higher incidence of allergic conjunctivitis and chronic dry eye among the city's population. An Ophthalmologist must be vigilant about environmental triggers during consultations.</w:t>
      </w:r>
    </w:p>
    <w:p>
      <w:pPr>
        <w:pStyle w:val="BodyText"/>
      </w:pPr>
      <w:r>
        <w:t xml:space="preserve">Additionally, the extensive use of digital screens by Moscow’s workforce leads to "Computer Vision Syndrome." Ophthalmologists are increasingly called upon to provide ergonomic advice alongside prescription updates. The lab report suggests that integrating lifestyle counseling into standard ophthalmic exams is a best practice for clinics in this region.</w:t>
      </w:r>
    </w:p>
    <w:bookmarkEnd w:id="25"/>
    <w:bookmarkStart w:id="26" w:name="conclusion-and-recommendations"/>
    <w:p>
      <w:pPr>
        <w:pStyle w:val="Heading2"/>
      </w:pPr>
      <w:r>
        <w:t xml:space="preserve">7. Conclusion and Recommendations</w:t>
      </w:r>
    </w:p>
    <w:p>
      <w:pPr>
        <w:pStyle w:val="FirstParagraph"/>
      </w:pPr>
      <w:r>
        <w:t xml:space="preserve">In conclusion, the role of an Ophthalmologist in Russia, Moscow is multifaceted, requiring technical expertise, regulatory compliance, and cultural sensitivity. The lab report underscores that high-quality eye care in this capital city depends on the seamless integration of advanced diagnostic technology with personalized patient management.</w:t>
      </w:r>
    </w:p>
    <w:p>
      <w:pPr>
        <w:pStyle w:val="BodyText"/>
      </w:pPr>
      <w:r>
        <w:t xml:space="preserve">It is recommended that all Ophthalmologists operating in this region undergo continuous professional development focused on emerging treatments for retinal diseases and refractive surgery complications. Furthermore, investment in bilingual educational materials for patients will enhance compliance and satisfaction. By maintaining these standards, the Ophthalmologist contributes significantly to public health outcomes in Russia, Moscow.</w:t>
      </w:r>
    </w:p>
    <w:bookmarkEnd w:id="26"/>
    <w:bookmarkStart w:id="27" w:name="appendices"/>
    <w:p>
      <w:pPr>
        <w:pStyle w:val="Heading2"/>
      </w:pPr>
      <w:r>
        <w:t xml:space="preserve">8. Appendices</w:t>
      </w:r>
    </w:p>
    <w:p>
      <w:pPr>
        <w:numPr>
          <w:ilvl w:val="0"/>
          <w:numId w:val="1002"/>
        </w:numPr>
        <w:pStyle w:val="Compact"/>
      </w:pPr>
      <w:r>
        <w:rPr>
          <w:bCs/>
          <w:b/>
        </w:rPr>
        <w:t xml:space="preserve">A:</w:t>
      </w:r>
      <w:r>
        <w:t xml:space="preserve"> </w:t>
      </w:r>
      <w:r>
        <w:t xml:space="preserve">List of Approved Diagnostic Equipment for Moscow Clinics.</w:t>
      </w:r>
    </w:p>
    <w:p>
      <w:pPr>
        <w:numPr>
          <w:ilvl w:val="0"/>
          <w:numId w:val="1002"/>
        </w:numPr>
        <w:pStyle w:val="Compact"/>
      </w:pPr>
      <w:r>
        <w:rPr>
          <w:bCs/>
          <w:b/>
        </w:rPr>
        <w:t xml:space="preserve">B:</w:t>
      </w:r>
    </w:p>
    <w:p>
      <w:pPr>
        <w:numPr>
          <w:ilvl w:val="0"/>
          <w:numId w:val="1002"/>
        </w:numPr>
        <w:pStyle w:val="Compact"/>
      </w:pPr>
      <w:r>
        <w:t xml:space="preserve">C:</w:t>
      </w:r>
    </w:p>
    <w:p>
      <w:r>
        <w:pict>
          <v:rect style="width:0;height:1.5pt" o:hralign="center" o:hrstd="t" o:hr="t"/>
        </w:pict>
      </w:r>
    </w:p>
    <w:p>
      <w:pPr>
        <w:pStyle w:val="FirstParagraph"/>
      </w:pPr>
      <w:r>
        <w:rPr>
          <w:iCs/>
          <w:i/>
        </w:rPr>
        <w:t xml:space="preserve">This document is a simulated Lab Report for educational and informational purposes regarding ophthalmic practices in Russia, Moscow.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Lab Report: Clinical Standards in Russia, Moscow</dc:title>
  <dc:creator/>
  <dc:language>en</dc:language>
  <cp:keywords/>
  <dcterms:created xsi:type="dcterms:W3CDTF">2026-07-29T16:14:28Z</dcterms:created>
  <dcterms:modified xsi:type="dcterms:W3CDTF">2026-07-29T16:14:28Z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