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Lab</w:t>
      </w:r>
      <w:r>
        <w:t xml:space="preserve"> </w:t>
      </w:r>
      <w:r>
        <w:t xml:space="preserve">Report:</w:t>
      </w:r>
      <w:r>
        <w:t xml:space="preserve"> </w:t>
      </w:r>
      <w:r>
        <w:t xml:space="preserve">Diagnostic</w:t>
      </w:r>
      <w:r>
        <w:t xml:space="preserve"> </w:t>
      </w:r>
      <w:r>
        <w:t xml:space="preserve">Frameworks</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Directorate of Dakar</w:t>
      </w:r>
      <w:r>
        <w:br/>
      </w:r>
      <w:r>
        <w:t xml:space="preserve">Ophthalmology Diagnostic Laboratory Services</w:t>
      </w:r>
      <w:r>
        <w:br/>
      </w:r>
      <w:r>
        <w:br/>
      </w:r>
      <w:r>
        <w:rPr>
          <w:iCs/>
          <w:i/>
        </w:rPr>
        <w:t xml:space="preserve">This document outlines the operational parameters and diagnostic standards for an ophthalmologist specializing in high-volume patient care within the Republic of Senegal.</w:t>
      </w:r>
    </w:p>
    <w:bookmarkStart w:id="31" w:name="Xbe9ffacbb10b6ad3449509306046acf776d5d8b"/>
    <w:p>
      <w:pPr>
        <w:pStyle w:val="Heading1"/>
      </w:pPr>
      <w:r>
        <w:t xml:space="preserve">Laboratory Report: Ophthalmologic Diagnostic Standards in Senegal Dakar</w:t>
      </w:r>
    </w:p>
    <w:bookmarkStart w:id="20" w:name="executive-summary"/>
    <w:p>
      <w:pPr>
        <w:pStyle w:val="Heading2"/>
      </w:pPr>
      <w:r>
        <w:t xml:space="preserve">1.0 Executive Summary</w:t>
      </w:r>
    </w:p>
    <w:p>
      <w:pPr>
        <w:pStyle w:val="FirstParagraph"/>
      </w:pPr>
      <w:r>
        <w:t xml:space="preserve">This Lab Report details the clinical infrastructure, diagnostic methodologies, and epidemiological focus required for a specialized ophthalmologist operating within the urban context of Senegal Dakar. As the capital city serves as both a demographic hub and a medical center for West Africa, the ophthalmologist must navigate unique challenges ranging from non-communicable diseases linked to rapid urbanization to persistent infectious etiologies. The primary objective of this report is to establish a standardized framework for ocular health assessment that balances advanced technological diagnostic capabilities with resource-adaptive clinical practices.</w:t>
      </w:r>
    </w:p>
    <w:bookmarkEnd w:id="20"/>
    <w:bookmarkStart w:id="21" w:name="introduction-and-contextual-background"/>
    <w:p>
      <w:pPr>
        <w:pStyle w:val="Heading2"/>
      </w:pPr>
      <w:r>
        <w:t xml:space="preserve">2.0 Introduction and Contextual Background</w:t>
      </w:r>
    </w:p>
    <w:p>
      <w:pPr>
        <w:pStyle w:val="FirstParagraph"/>
      </w:pPr>
      <w:r>
        <w:t xml:space="preserve">The intersection of public health ophthalmology and specialized care in Senegal Dakar requires a nuanced understanding of local epidemiological trends. While global trends indicate a rising prevalence of age-related macular degeneration (AMD) and diabetic retinopathy, the specific demographic profile of Dakar presents a dual burden. The city is experiencing an aging population alongside high rates of diabetes mellitus, creating an urgent need for robust screening programs led by the ophthalmologist.</w:t>
      </w:r>
    </w:p>
    <w:p>
      <w:pPr>
        <w:pStyle w:val="BodyText"/>
      </w:pPr>
      <w:r>
        <w:t xml:space="preserve">Furthermore, Senegal Dakar serves as a referral center for surrounding regions and neighboring countries in West Africa. Consequently, the ophthalmologist must be equipped to handle complex cases of trauma, infectious keratitis associated with agricultural exposure from rural migrants, and advanced glaucomas that have progressed due to limited access to primary care. This report emphasizes the integration of laboratory-style diagnostic precision into clinical ophthalmology practice.</w:t>
      </w:r>
    </w:p>
    <w:bookmarkEnd w:id="21"/>
    <w:bookmarkStart w:id="24" w:name="X9becf417687fe7b134508ded6512de507ecfa8a"/>
    <w:p>
      <w:pPr>
        <w:pStyle w:val="Heading2"/>
      </w:pPr>
      <w:r>
        <w:t xml:space="preserve">3.0 Diagnostic Infrastructure and Laboratory Integration</w:t>
      </w:r>
    </w:p>
    <w:p>
      <w:pPr>
        <w:pStyle w:val="FirstParagraph"/>
      </w:pPr>
      <w:r>
        <w:t xml:space="preserve">A modern ophthalmologist in Senegal Dakar cannot rely solely on slit-lamp biomicroscopy. The "lab" component of this report refers to the ancillary diagnostic testing that mimics a laboratory environment, providing quantitative data for clinical decision-making.</w:t>
      </w:r>
    </w:p>
    <w:bookmarkStart w:id="22" w:name="optical-coherence-tomography-oct"/>
    <w:p>
      <w:pPr>
        <w:pStyle w:val="Heading3"/>
      </w:pPr>
      <w:r>
        <w:t xml:space="preserve">3.1 Optical Coherence Tomography (OCT)</w:t>
      </w:r>
    </w:p>
    <w:p>
      <w:pPr>
        <w:pStyle w:val="FirstParagraph"/>
      </w:pPr>
      <w:r>
        <w:t xml:space="preserve">OCT is critical for the ophthalmologist managing diabetic retinopathy and glaucoma. In the humid tropical climate of Dakar, equipment maintenance is paramount to prevent sensor degradation. The report recommends regular calibration schedules to ensure accurate measurement of retinal nerve fiber layer thickness and macular volume, which are essential for early detection of neurodegenerative eye conditions.</w:t>
      </w:r>
    </w:p>
    <w:bookmarkEnd w:id="22"/>
    <w:bookmarkStart w:id="23" w:name="fluorescein-angiography"/>
    <w:p>
      <w:pPr>
        <w:pStyle w:val="Heading3"/>
      </w:pPr>
      <w:r>
        <w:t xml:space="preserve">3.2 Fluorescein Angiography</w:t>
      </w:r>
    </w:p>
    <w:p>
      <w:pPr>
        <w:pStyle w:val="FirstParagraph"/>
      </w:pPr>
      <w:r>
        <w:t xml:space="preserve">This imaging technique remains a cornerstone for diagnosing vascular pathologies. For the ophthalmologist in Senegal Dakar, fluorescein angiography is indispensable for differentiating between wet and dry AMD, as well as evaluating neovascular glaucoma. The protocol includes strict monitoring of allergic reactions to contrast media, given the limited availability of emergency anaphylaxis management kits in some satellite clinics.</w:t>
      </w:r>
    </w:p>
    <w:bookmarkEnd w:id="23"/>
    <w:bookmarkEnd w:id="24"/>
    <w:bookmarkStart w:id="25" w:name="epidemiological-focus-key-pathologies"/>
    <w:p>
      <w:pPr>
        <w:pStyle w:val="Heading2"/>
      </w:pPr>
      <w:r>
        <w:t xml:space="preserve">4.0 Epidemiological Focus: Key Pathologies</w:t>
      </w:r>
    </w:p>
    <w:p>
      <w:pPr>
        <w:pStyle w:val="FirstParagraph"/>
      </w:pPr>
      <w:r>
        <w:t xml:space="preserve">The ophthalmologist must tailor their diagnostic approach based on the most prevalent conditions observed in Senegal Dakar.</w:t>
      </w:r>
    </w:p>
    <w:p>
      <w:pPr>
        <w:numPr>
          <w:ilvl w:val="0"/>
          <w:numId w:val="1001"/>
        </w:numPr>
        <w:pStyle w:val="Compact"/>
      </w:pPr>
      <w:r>
        <w:rPr>
          <w:bCs/>
          <w:b/>
        </w:rPr>
        <w:t xml:space="preserve">Cataract:</w:t>
      </w:r>
      <w:r>
        <w:t xml:space="preserve"> </w:t>
      </w:r>
      <w:r>
        <w:t xml:space="preserve">While surgery is widely available, pre-operative biometry remains a challenge. The ophthalmologist must ensure accurate axial length measurements to calculate intraocular lens power, preventing post-surgical refractive surprises.</w:t>
      </w:r>
    </w:p>
    <w:p>
      <w:pPr>
        <w:numPr>
          <w:ilvl w:val="0"/>
          <w:numId w:val="1001"/>
        </w:numPr>
        <w:pStyle w:val="Compact"/>
      </w:pPr>
      <w:r>
        <w:rPr>
          <w:bCs/>
          <w:b/>
        </w:rPr>
        <w:t xml:space="preserve">Glaucoma:</w:t>
      </w:r>
      <w:r>
        <w:t xml:space="preserve"> </w:t>
      </w:r>
      <w:r>
        <w:t xml:space="preserve">Open-angle glaucoma is often asymptomatic until late stages. Tonometry protocols must be standardized, taking into account Central Corneal Thickness (CCT) variations among the Wolof and other ethnic groups present in Dakar.</w:t>
      </w:r>
    </w:p>
    <w:p>
      <w:pPr>
        <w:numPr>
          <w:ilvl w:val="0"/>
          <w:numId w:val="1001"/>
        </w:numPr>
        <w:pStyle w:val="Compact"/>
      </w:pPr>
      <w:r>
        <w:rPr>
          <w:bCs/>
          <w:b/>
        </w:rPr>
        <w:t xml:space="preserve">Digital Eye Strain:</w:t>
      </w:r>
      <w:r>
        <w:t xml:space="preserve"> </w:t>
      </w:r>
      <w:r>
        <w:t xml:space="preserve">With the rapid digitization of Dakar’s workforce, the ophthalmologist is increasingly treating patients with computer vision syndrome. Patient education regarding screen time and blue light exposure is now a critical part of the consultation lab report.</w:t>
      </w:r>
    </w:p>
    <w:bookmarkEnd w:id="25"/>
    <w:bookmarkStart w:id="26" w:name="infectious-ophthalmology-considerations"/>
    <w:p>
      <w:pPr>
        <w:pStyle w:val="Heading2"/>
      </w:pPr>
      <w:r>
        <w:t xml:space="preserve">5.0 Infectious Ophthalmology Considerations</w:t>
      </w:r>
    </w:p>
    <w:p>
      <w:pPr>
        <w:pStyle w:val="FirstParagraph"/>
      </w:pPr>
      <w:r>
        <w:t xml:space="preserve">Infectious diseases remain a significant public health concern in Senegal, impacting the workload of the ophthalmologist. Trachoma, though declining due to national control programs, still requires surveillance in peri-urban areas of Dakar. Additionally, bacterial and fungal keratitis are common due to the prevalence of agricultural work among patients migrating from rural regions.</w:t>
      </w:r>
    </w:p>
    <w:p>
      <w:pPr>
        <w:pStyle w:val="BodyText"/>
      </w:pPr>
      <w:r>
        <w:t xml:space="preserve">The ophthalmologist must maintain a high index of suspicion for fungal infections in patients with vegetative trauma. Culturing techniques, akin to microbiological laboratory procedures, should be employed when corneal ulcers do not respond to empirical antibiotic therapy. This diagnostic rigor is essential for preventing blindness and reducing the need for therapeutic keratoplasty.</w:t>
      </w:r>
    </w:p>
    <w:bookmarkEnd w:id="26"/>
    <w:bookmarkStart w:id="27" w:name="socioeconomic-barriers-and-accessibility"/>
    <w:p>
      <w:pPr>
        <w:pStyle w:val="Heading2"/>
      </w:pPr>
      <w:r>
        <w:t xml:space="preserve">6.0 Socioeconomic Barriers and Accessibility</w:t>
      </w:r>
    </w:p>
    <w:p>
      <w:pPr>
        <w:pStyle w:val="FirstParagraph"/>
      </w:pPr>
      <w:r>
        <w:t xml:space="preserve">The ophthalmologist in Senegal Dakar operates within a healthcare system where out-of-pocket expenses can be prohibitive. This report highlights the need for cost-effective diagnostic algorithms. For instance, utilizing fundus photography over expensive angiography for routine diabetic screening when appropriate can expand access to care.</w:t>
      </w:r>
    </w:p>
    <w:p>
      <w:pPr>
        <w:pStyle w:val="BodyText"/>
      </w:pPr>
      <w:r>
        <w:t xml:space="preserve">Furthermore, telemedicine integration is suggested as a bridge between remote clinics and the specialized ophthalmologist in Dakar. High-resolution images can be transmitted for secondary review, allowing the local clinician to manage stable cases while referring complex ones. This hybrid model ensures that the ophthalmologist’s expertise is utilized efficiently.</w:t>
      </w:r>
    </w:p>
    <w:bookmarkEnd w:id="27"/>
    <w:bookmarkStart w:id="28" w:name="recommendations-for-implementation"/>
    <w:p>
      <w:pPr>
        <w:pStyle w:val="Heading2"/>
      </w:pPr>
      <w:r>
        <w:t xml:space="preserve">7.0 Recommendations for Implementation</w:t>
      </w:r>
    </w:p>
    <w:p>
      <w:pPr>
        <w:pStyle w:val="FirstParagraph"/>
      </w:pPr>
      <w:r>
        <w:t xml:space="preserve">To optimize the role of the ophthalmologist in Senegal Dakar, this Lab Report proposes three strategic actions:</w:t>
      </w:r>
    </w:p>
    <w:p>
      <w:pPr>
        <w:numPr>
          <w:ilvl w:val="0"/>
          <w:numId w:val="1002"/>
        </w:numPr>
        <w:pStyle w:val="Compact"/>
      </w:pPr>
      <w:r>
        <w:rPr>
          <w:bCs/>
          <w:b/>
        </w:rPr>
        <w:t xml:space="preserve">Educational Training:</w:t>
      </w:r>
      <w:r>
        <w:t xml:space="preserve"> </w:t>
      </w:r>
      <w:r>
        <w:t xml:space="preserve">Continuous professional development programs focusing on new imaging technologies and management of diabetic eye disease.</w:t>
      </w:r>
    </w:p>
    <w:p>
      <w:pPr>
        <w:numPr>
          <w:ilvl w:val="0"/>
          <w:numId w:val="1002"/>
        </w:numPr>
        <w:pStyle w:val="Compact"/>
      </w:pPr>
      <w:r>
        <w:rPr>
          <w:bCs/>
          <w:b/>
        </w:rPr>
        <w:t xml:space="preserve">Data Collection:</w:t>
      </w:r>
      <w:r>
        <w:t xml:space="preserve"> </w:t>
      </w:r>
      <w:r>
        <w:t xml:space="preserve">Establishment of a national ocular registry in Dakar to track prevalence rates. This data-driven approach will help the ophthalmologist and policymakers allocate resources more effectively.</w:t>
      </w:r>
    </w:p>
    <w:p>
      <w:pPr>
        <w:numPr>
          <w:ilvl w:val="0"/>
          <w:numId w:val="1002"/>
        </w:numPr>
        <w:pStyle w:val="Compact"/>
      </w:pPr>
      <w:r>
        <w:rPr>
          <w:bCs/>
          <w:b/>
        </w:rPr>
        <w:t xml:space="preserve">Cultural Competence:</w:t>
      </w:r>
      <w:r>
        <w:t xml:space="preserve"> </w:t>
      </w:r>
      <w:r>
        <w:t xml:space="preserve">Enhancing communication skills to address health literacy barriers. Many patients may rely on traditional healers first; the ophthalmologist must build trust through clear, culturally sensitive explanations of diagnosis and treatment plans.</w:t>
      </w:r>
    </w:p>
    <w:bookmarkEnd w:id="28"/>
    <w:bookmarkStart w:id="29" w:name="conclusion"/>
    <w:p>
      <w:pPr>
        <w:pStyle w:val="Heading2"/>
      </w:pPr>
      <w:r>
        <w:t xml:space="preserve">8.0 Conclusion</w:t>
      </w:r>
    </w:p>
    <w:p>
      <w:pPr>
        <w:pStyle w:val="FirstParagraph"/>
      </w:pPr>
      <w:r>
        <w:t xml:space="preserve">The role of the ophthalmologist in Senegal Dakar is evolving from a purely surgical specialist to a comprehensive diagnostician managing complex public health challenges. This Lab Report underscores the necessity of integrating rigorous laboratory-style diagnostics with adaptive clinical strategies. By focusing on diabetic retinopathy, glaucoma, and infectious keratitis, while addressing socioeconomic barriers, the ophthalmologist can significantly reduce preventable blindness in the region.</w:t>
      </w:r>
    </w:p>
    <w:p>
      <w:pPr>
        <w:pStyle w:val="BodyText"/>
      </w:pPr>
      <w:r>
        <w:t xml:space="preserve">Future success depends on sustained investment in technology maintenance and cross-sector collaboration between public health officials and private practitioners. The ophthalmologist stands at the forefront of this effort, ensuring that visual health is prioritized within the broader development goals of Senegal Dakar.</w:t>
      </w:r>
    </w:p>
    <w:bookmarkEnd w:id="29"/>
    <w:bookmarkStart w:id="30" w:name="references-and-compliance"/>
    <w:p>
      <w:pPr>
        <w:pStyle w:val="Heading2"/>
      </w:pPr>
      <w:r>
        <w:t xml:space="preserve">9.0 References and Compliance</w:t>
      </w:r>
    </w:p>
    <w:p>
      <w:pPr>
        <w:pStyle w:val="FirstParagraph"/>
      </w:pPr>
      <w:r>
        <w:t xml:space="preserve">This report adheres to international clinical guidelines for ophthalmology while incorporating local regulatory frameworks established by the Ministry of Health in Senegal. All diagnostic protocols described herein are subject to regular review based on emerging evidence and technological advancements.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Lab Report: Diagnostic Frameworks and Clinical Protocols in Senegal Dakar</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