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Singapore</w:t>
      </w:r>
    </w:p>
    <w:bookmarkStart w:id="20" w:name="X2e82e054eeb151b315600a22220f99a8d4e21e4"/>
    <w:p>
      <w:pPr>
        <w:pStyle w:val="Heading1"/>
      </w:pPr>
      <w:r>
        <w:t xml:space="preserve">Laboratory Report on Ophthalmologist Services and Healthcare Standards in Singapore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Singapore</w:t>
      </w:r>
      <w:r>
        <w:br/>
      </w:r>
      <w:r>
        <w:rPr>
          <w:bCs/>
          <w:b/>
        </w:rPr>
        <w:t xml:space="preserve">Focused Subject:</w:t>
      </w:r>
      <w:r>
        <w:t xml:space="preserve"> </w:t>
      </w:r>
      <w:r>
        <w:t xml:space="preserve">Ophthalmologist Specialists and Clinical Protocols</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ophthalmologist services available within the unique healthcare ecosystem of Singapore. The primary objective is to evaluate how specialized eye care, delivered by qualified ophthalmologists, aligns with the stringent regulatory frameworks and high-quality medical standards established in Singapore. As a global hub for biotechnology and advanced medical research, Singapore presents a distinct environment where the role of an ophthalmologist extends beyond routine vision correction into complex surgical interventions and chronic disease management. This document details the structural integration of eye care services, patient safety protocols, and the technological infrastructure that supports modern ophthalmic practice in this region.</w:t>
      </w:r>
    </w:p>
    <w:bookmarkEnd w:id="21"/>
    <w:bookmarkStart w:id="22" w:name="introduction"/>
    <w:p>
      <w:pPr>
        <w:pStyle w:val="Heading2"/>
      </w:pPr>
      <w:r>
        <w:t xml:space="preserve">2. Introduction</w:t>
      </w:r>
    </w:p>
    <w:p>
      <w:pPr>
        <w:pStyle w:val="FirstParagraph"/>
      </w:pPr>
      <w:r>
        <w:t xml:space="preserve">The healthcare landscape in Singapore is characterized by a dual system comprising public and private sectors, both of which are heavily regulated to ensure excellence. Within this context, the ophthalmologist serves as a critical specialist responsible for diagnosing and treating ocular diseases. The term "laboratory report" in this context refers to the systematic evaluation of clinical practices, diagnostic accuracy, and procedural outcomes associated with eye care providers.</w:t>
      </w:r>
    </w:p>
    <w:p>
      <w:pPr>
        <w:pStyle w:val="BodyText"/>
      </w:pPr>
      <w:r>
        <w:t xml:space="preserve">Singapore’s aging population has led to an increased prevalence of age-related ocular conditions such as cataracts, glaucoma, and age-related macular degeneration (AMD). Consequently, the demand for highly skilled ophthalmologists in Singapore has surged. This report explores how these specialists operate within a framework that prioritizes evidence-based medicine and rigorous quality control.</w:t>
      </w:r>
    </w:p>
    <w:bookmarkEnd w:id="22"/>
    <w:bookmarkStart w:id="24" w:name="X45ece82b558936b99373fc2efe9930e4d2b1d1b"/>
    <w:p>
      <w:pPr>
        <w:pStyle w:val="Heading2"/>
      </w:pPr>
      <w:r>
        <w:t xml:space="preserve">3. Regulatory Framework and Professional Standards</w:t>
      </w:r>
    </w:p>
    <w:p>
      <w:pPr>
        <w:pStyle w:val="FirstParagraph"/>
      </w:pPr>
      <w:r>
        <w:t xml:space="preserve">In Singapore, all ophthalmologists are registered with the Singapore Medical Council (SMC). To practice legally, an ophthalmologist must possess a valid annual practicing certificate (APC). The laboratory aspect of this report highlights the strict adherence to standard operating procedures (SOPs) mandated by national health authorities.</w:t>
      </w:r>
    </w:p>
    <w:bookmarkStart w:id="23" w:name="accreditation-and-safety"/>
    <w:p>
      <w:pPr>
        <w:pStyle w:val="Heading3"/>
      </w:pPr>
      <w:r>
        <w:t xml:space="preserve">3.1 Accreditation and Safety</w:t>
      </w:r>
    </w:p>
    <w:p>
      <w:pPr>
        <w:pStyle w:val="FirstParagraph"/>
      </w:pPr>
      <w:r>
        <w:t xml:space="preserve">Hospitals and clinics in Singapore that employ ophthalmologists are required to undergo regular audits by the Ministry of Health (MOH). These audits cover everything from sterilization protocols in operating theaters to the calibration of diagnostic equipment used by eye specialists. For instance, optical coherence tomography (OCT) machines and visual field testers must maintain precise calibration records. This ensures that data interpreted by an ophthalmologist is accurate, thereby minimizing the risk of misdiagnosis.</w:t>
      </w:r>
    </w:p>
    <w:bookmarkEnd w:id="23"/>
    <w:bookmarkEnd w:id="24"/>
    <w:bookmarkStart w:id="28" w:name="Xbffdb4abe8e43e6e7614f7708a5bb85eb846a41"/>
    <w:p>
      <w:pPr>
        <w:pStyle w:val="Heading2"/>
      </w:pPr>
      <w:r>
        <w:t xml:space="preserve">4. Clinical Laboratory Analysis of Ophthalmic Procedures</w:t>
      </w:r>
    </w:p>
    <w:p>
      <w:pPr>
        <w:pStyle w:val="FirstParagraph"/>
      </w:pPr>
      <w:r>
        <w:t xml:space="preserve">The core of this report analyzes specific clinical areas where ophthalmologists in Singapore employ laboratory-grade techniques and advanced diagnostics.</w:t>
      </w:r>
    </w:p>
    <w:bookmarkStart w:id="25" w:name="refractive-surgery-and-lasik"/>
    <w:p>
      <w:pPr>
        <w:pStyle w:val="Heading3"/>
      </w:pPr>
      <w:r>
        <w:t xml:space="preserve">4.1 Refractive Surgery and LASIK</w:t>
      </w:r>
    </w:p>
    <w:p>
      <w:pPr>
        <w:pStyle w:val="FirstParagraph"/>
      </w:pPr>
      <w:r>
        <w:t xml:space="preserve">Singapore is a regional leader in refractive surgery. The process involves rigorous pre-operative screening laboratories within clinics to map the cornea topography. An ophthalmologist must evaluate these maps to determine patient eligibility. The "laboratory" environment here includes laser safety protocols, where strict adherence to eye protection regulations for both staff and patients is enforced.</w:t>
      </w:r>
    </w:p>
    <w:bookmarkEnd w:id="25"/>
    <w:bookmarkStart w:id="26" w:name="retinal-imaging-and-diagnostics"/>
    <w:p>
      <w:pPr>
        <w:pStyle w:val="Heading3"/>
      </w:pPr>
      <w:r>
        <w:t xml:space="preserve">4.2 Retinal Imaging and Diagnostics</w:t>
      </w:r>
    </w:p>
    <w:p>
      <w:pPr>
        <w:pStyle w:val="FirstParagraph"/>
      </w:pPr>
      <w:r>
        <w:t xml:space="preserve">In the management of diabetic retinopathy—a common condition in Singapore’s diverse demographic—ophthalmologists rely heavily on digital fundus photography and OCT imaging. These diagnostic tools essentially function as non-invasive laboratories, providing high-resolution cross-sectional images of the retina. The data generated is stored in centralized electronic health records (EHR), allowing for longitudinal tracking of disease progression. This integration of technology ensures that ophthalmologists can make timely interventions, reducing the burden on hospital emergency services.</w:t>
      </w:r>
    </w:p>
    <w:bookmarkEnd w:id="26"/>
    <w:bookmarkStart w:id="27" w:name="glaucoma-management"/>
    <w:p>
      <w:pPr>
        <w:pStyle w:val="Heading3"/>
      </w:pPr>
      <w:r>
        <w:t xml:space="preserve">4.3 Glaucoma Management</w:t>
      </w:r>
    </w:p>
    <w:p>
      <w:pPr>
        <w:pStyle w:val="FirstParagraph"/>
      </w:pPr>
      <w:r>
        <w:t xml:space="preserve">Glaucoma remains a leading cause of irreversible blindness in Singapore. The laboratory approach to glaucoma involves the continuous monitoring of intraocular pressure (IOP) and optic nerve head morphology. Ophthalmologists utilize automated perimetry to assess visual field loss. The data from these tests is analyzed using statistical algorithms that compare patient results against normative databases, a process akin to laboratory data analysis, ensuring early detection of deterioration.</w:t>
      </w:r>
    </w:p>
    <w:bookmarkEnd w:id="27"/>
    <w:bookmarkEnd w:id="28"/>
    <w:bookmarkStart w:id="29" w:name="X17f282b927741b091a6100c36b32d9e1292e484"/>
    <w:p>
      <w:pPr>
        <w:pStyle w:val="Heading2"/>
      </w:pPr>
      <w:r>
        <w:t xml:space="preserve">5. The Role of the Ophthalmologist in Public and Private Sectors</w:t>
      </w:r>
    </w:p>
    <w:p>
      <w:pPr>
        <w:pStyle w:val="FirstParagraph"/>
      </w:pPr>
      <w:r>
        <w:t xml:space="preserve">Singapore’s healthcare system offers a unique dichotomy. In public institutions like Singapore General Hospital or National Eye Centre (NEC), ophthalmologists handle high-volume caseloads, including complex trauma and rare genetic eye disorders. These centers often serve as teaching hubs for research, effectively acting as clinical laboratories where new surgical techniques are tested and validated.</w:t>
      </w:r>
    </w:p>
    <w:p>
      <w:pPr>
        <w:pStyle w:val="BodyText"/>
      </w:pPr>
      <w:r>
        <w:t xml:space="preserve">Conversely, private ophthalmologists in Singapore focus heavily on patient experience and specialized care, such as cataract surgery with premium intraocular lenses (IOLs). However, they remain bound by the same national standards. The synergy between these sectors ensures that knowledge gained in public research laboratories is rapidly disseminated to private practitioners, elevating the overall standard of eye care across Singapore.</w:t>
      </w:r>
    </w:p>
    <w:bookmarkEnd w:id="29"/>
    <w:bookmarkStart w:id="30" w:name="challenges-and-future-directions"/>
    <w:p>
      <w:pPr>
        <w:pStyle w:val="Heading2"/>
      </w:pPr>
      <w:r>
        <w:t xml:space="preserve">6. Challenges and Future Directions</w:t>
      </w:r>
    </w:p>
    <w:p>
      <w:pPr>
        <w:pStyle w:val="FirstParagraph"/>
      </w:pPr>
      <w:r>
        <w:t xml:space="preserve">Despite the high standards, challenges persist. The shortage of subspecialized ophthalmologists in areas like pediatric ophthalmology and neuro-ophthalmology requires strategic workforce planning by the government. Furthermore, as AI begins to integrate into diagnostic workflows, ophthalmologists must adapt to new laboratory-style data inputs from artificial intelligence algorithms.</w:t>
      </w:r>
    </w:p>
    <w:p>
      <w:pPr>
        <w:pStyle w:val="BodyText"/>
      </w:pPr>
      <w:r>
        <w:t xml:space="preserve">Looking ahead, Singapore aims to be a smart nation in healthcare. This involves integrating telemedicine with traditional ophthalmologist consultations. Remote monitoring devices will allow patients at home to transmit retinal scans directly to specialists, expanding the reach of eye care beyond physical clinics.</w:t>
      </w:r>
    </w:p>
    <w:bookmarkEnd w:id="30"/>
    <w:bookmarkStart w:id="31" w:name="conclusion"/>
    <w:p>
      <w:pPr>
        <w:pStyle w:val="Heading2"/>
      </w:pPr>
      <w:r>
        <w:t xml:space="preserve">7. Conclusion</w:t>
      </w:r>
    </w:p>
    <w:p>
      <w:pPr>
        <w:pStyle w:val="FirstParagraph"/>
      </w:pPr>
      <w:r>
        <w:t xml:space="preserve">This laboratory report confirms that the role of an ophthalmologist in Singapore is defined by a rigorous combination of clinical expertise, technological integration, and strict regulatory compliance. The healthcare infrastructure supports these specialists with advanced diagnostic "laboratories" both within hospitals and outpatient clinics. For patients in Singapore, this ensures access to world-class eye care that meets international benchmarks. The continuous evolution of medical technology and the strong regulatory framework guarantee that ophthalmologists in this region remain at the forefront of global eye health.</w:t>
      </w:r>
    </w:p>
    <w:bookmarkEnd w:id="31"/>
    <w:bookmarkStart w:id="32" w:name="references"/>
    <w:p>
      <w:pPr>
        <w:pStyle w:val="Heading2"/>
      </w:pPr>
      <w:r>
        <w:t xml:space="preserve">8. References</w:t>
      </w:r>
    </w:p>
    <w:p>
      <w:pPr>
        <w:numPr>
          <w:ilvl w:val="0"/>
          <w:numId w:val="1001"/>
        </w:numPr>
        <w:pStyle w:val="Compact"/>
      </w:pPr>
      <w:r>
        <w:t xml:space="preserve">Singapore Medical Council (SMC) – Guidelines on Medical Ethics and Professional Conduct.</w:t>
      </w:r>
    </w:p>
    <w:p>
      <w:pPr>
        <w:numPr>
          <w:ilvl w:val="0"/>
          <w:numId w:val="1001"/>
        </w:numPr>
        <w:pStyle w:val="Compact"/>
      </w:pPr>
      <w:r>
        <w:t xml:space="preserve">Ministry of Health Singapore (MOH) – Healthcare Quality Standards for Specialist Clinics.</w:t>
      </w:r>
    </w:p>
    <w:p>
      <w:pPr>
        <w:numPr>
          <w:ilvl w:val="0"/>
          <w:numId w:val="1001"/>
        </w:numPr>
        <w:pStyle w:val="Compact"/>
      </w:pPr>
      <w:r>
        <w:t xml:space="preserve">National Eye Centre Singapore – Annual Clinical Report on Ophthalmic Services.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Ophthalmologist Services in Singapore</dc:title>
  <dc:creator/>
  <dc:language>en</dc:language>
  <cp:keywords/>
  <dcterms:created xsi:type="dcterms:W3CDTF">2026-07-29T20:30:14Z</dcterms:created>
  <dcterms:modified xsi:type="dcterms:W3CDTF">2026-07-29T20:30:14Z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