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Report:</w:t>
      </w:r>
      <w:r>
        <w:t xml:space="preserve"> </w:t>
      </w:r>
      <w:r>
        <w:t xml:space="preserve">Ophthalmological</w:t>
      </w:r>
      <w:r>
        <w:t xml:space="preserve"> </w:t>
      </w:r>
      <w:r>
        <w:t xml:space="preserve">Services</w:t>
      </w:r>
      <w:r>
        <w:t xml:space="preserve"> </w:t>
      </w:r>
      <w:r>
        <w:t xml:space="preserve">in</w:t>
      </w:r>
      <w:r>
        <w:t xml:space="preserve"> </w:t>
      </w:r>
      <w:r>
        <w:t xml:space="preserve">Sudan,</w:t>
      </w:r>
      <w:r>
        <w:t xml:space="preserve"> </w:t>
      </w:r>
      <w:r>
        <w:t xml:space="preserve">Khartoum</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Health, Sudan / International Aid Coordination Bodies</w:t>
      </w:r>
    </w:p>
    <w:p>
      <w:pPr>
        <w:pStyle w:val="BodyText"/>
      </w:pPr>
      <w:r>
        <w:t xml:space="preserve">From:Metro Vision Diagnostic Center &amp; Research Lab</w:t>
      </w:r>
    </w:p>
    <w:bookmarkStart w:id="20" w:name="Xc5bd01c1f1c664067ee95ac08e87231593e9a8c"/>
    <w:p>
      <w:pPr>
        <w:pStyle w:val="Heading1"/>
      </w:pPr>
      <w:r>
        <w:t xml:space="preserve">Comprehensive Operational Report on Ophthalmologist Deployment and Laboratory Support in Sudan, Khartoum</w:t>
      </w:r>
    </w:p>
    <w:bookmarkEnd w:id="20"/>
    <w:bookmarkStart w:id="21" w:name="executive-summary"/>
    <w:p>
      <w:pPr>
        <w:pStyle w:val="Heading2"/>
      </w:pPr>
      <w:r>
        <w:t xml:space="preserve">Executive Summary</w:t>
      </w:r>
    </w:p>
    <w:p>
      <w:pPr>
        <w:pStyle w:val="FirstParagraph"/>
      </w:pPr>
      <w:r>
        <w:t xml:space="preserve">This document serves as a critical laboratory report detailing the current operational status of ophthalmological services within Sudan, specifically focusing on the capital city of Khartoum. The report outlines the necessity for specialized ophthalmologist interventions, supported by robust diagnostic laboratory infrastructure. It highlights the pressing need to address high-prevalence ocular conditions exacerbated by recent environmental and socio-economic challenges in Sudan.</w:t>
      </w:r>
    </w:p>
    <w:bookmarkEnd w:id="21"/>
    <w:bookmarkStart w:id="22" w:name="X1a71674e221083167c42e2bb33b90c91ce46c20"/>
    <w:p>
      <w:pPr>
        <w:pStyle w:val="Heading2"/>
      </w:pPr>
      <w:r>
        <w:t xml:space="preserve">1. Introduction: The Context of Sudan, Khartoum</w:t>
      </w:r>
    </w:p>
    <w:p>
      <w:pPr>
        <w:pStyle w:val="FirstParagraph"/>
      </w:pPr>
      <w:r>
        <w:t xml:space="preserve">Khartoum, situated at the confluence of the Blue and White Niles, remains the medical hub for Sudan. However, recent years have presented unique challenges to public health infrastructure. The demand for specialized care has surged due to increased rates of diabetic retinopathy and cataracts among an aging population, compounded by limited access to preventive care in rural areas surrounding Khartoum. This report aims to analyze the efficacy of current ophthalmologist deployment models and laboratory testing protocols within this specific geographic context.</w:t>
      </w:r>
    </w:p>
    <w:p>
      <w:pPr>
        <w:pStyle w:val="BodyText"/>
      </w:pPr>
      <w:r>
        <w:t xml:space="preserve">The primary objective is to establish a standardized framework for diagnosing and treating ocular diseases, ensuring that every Ophthalmologist in Sudan, Khartoum is supported by reliable laboratory data. Without precise diagnostic support from the lab, clinical decisions by the ophthalmologist lack the scientific rigor required for complex cases.</w:t>
      </w:r>
    </w:p>
    <w:bookmarkEnd w:id="22"/>
    <w:bookmarkStart w:id="25" w:name="X7231108fa475ea55da26ac5ff2c134afb0a3b50"/>
    <w:p>
      <w:pPr>
        <w:pStyle w:val="Heading2"/>
      </w:pPr>
      <w:r>
        <w:t xml:space="preserve">2. Laboratory Infrastructure and Diagnostic Capabilities</w:t>
      </w:r>
    </w:p>
    <w:p>
      <w:pPr>
        <w:pStyle w:val="FirstParagraph"/>
      </w:pPr>
      <w:r>
        <w:t xml:space="preserve">In any modern medical setting, particularly for an Ophthalmologist operating in a resource-constrained environment like Sudan, Khartoum, the laboratory is not merely a support unit but the foundation of accurate diagnosis. The following sections detail the required and existing capabilities.</w:t>
      </w:r>
    </w:p>
    <w:bookmarkStart w:id="23" w:name="hematological-and-biochemical-analysis"/>
    <w:p>
      <w:pPr>
        <w:pStyle w:val="Heading3"/>
      </w:pPr>
      <w:r>
        <w:t xml:space="preserve">2.1. Hematological and Biochemical Analysis</w:t>
      </w:r>
    </w:p>
    <w:p>
      <w:pPr>
        <w:pStyle w:val="FirstParagraph"/>
      </w:pPr>
      <w:r>
        <w:t xml:space="preserve">Ocular health is often a reflection of systemic health. For patients presenting with sudden vision loss or retinal hemorrhages in Sudan, Khartoum, immediate blood work is essential to rule out diabetes mellitus and hypertensive crises. The laboratory report indicates that while basic complete blood counts (CBC) are widely available, specialized assays for glycated hemoglobin (HbA1c) and lipid profiles require improved supply chains due to import restrictions common in the region. Strengthening these lab capabilities is a prerequisite for any Ophthalmologist aiming to provide comprehensive care.</w:t>
      </w:r>
    </w:p>
    <w:bookmarkEnd w:id="23"/>
    <w:bookmarkStart w:id="24" w:name="microbiological-culture-and-sensitivity"/>
    <w:p>
      <w:pPr>
        <w:pStyle w:val="Heading3"/>
      </w:pPr>
      <w:r>
        <w:t xml:space="preserve">2.2. Microbiological Culture and Sensitivity</w:t>
      </w:r>
    </w:p>
    <w:p>
      <w:pPr>
        <w:pStyle w:val="FirstParagraph"/>
      </w:pPr>
      <w:r>
        <w:t xml:space="preserve">Keratitis and conjunctivitis remain prevalent in Khartoum due to dust storms and high temperatures. The laboratory must be equipped to perform corneal scraping cultures quickly. Data suggests that a turnaround time of less than 48 hours is achievable if the lab maintains adequate sterile media. This efficiency directly impacts the Ophthalmologist’s ability to prescribe targeted antibiotic therapy rather than relying on broad-spectrum empirical treatments, which contribute to antibiotic resistance.</w:t>
      </w:r>
    </w:p>
    <w:bookmarkEnd w:id="24"/>
    <w:bookmarkEnd w:id="25"/>
    <w:bookmarkStart w:id="28" w:name="X3ebe1c24291a446738ee6bedb7861a92e7d9de4"/>
    <w:p>
      <w:pPr>
        <w:pStyle w:val="Heading2"/>
      </w:pPr>
      <w:r>
        <w:t xml:space="preserve">3. The Role of the Ophthalmologist in Sudan, Khartoum</w:t>
      </w:r>
    </w:p>
    <w:p>
      <w:pPr>
        <w:pStyle w:val="FirstParagraph"/>
      </w:pPr>
      <w:r>
        <w:t xml:space="preserve">The clinical presentation of patients seeking an Ophthalmologist in Sudan, Khartoum reveals distinct patterns. The majority of cases involve cataracts, glaucoma, and diabetic eye disease.</w:t>
      </w:r>
    </w:p>
    <w:bookmarkStart w:id="26" w:name="cataract-management"/>
    <w:p>
      <w:pPr>
        <w:pStyle w:val="Heading3"/>
      </w:pPr>
      <w:r>
        <w:t xml:space="preserve">3.1. Cataract Management</w:t>
      </w:r>
    </w:p>
    <w:p>
      <w:pPr>
        <w:pStyle w:val="FirstParagraph"/>
      </w:pPr>
      <w:r>
        <w:t xml:space="preserve">Cataract surgery remains the most frequent procedure performed by an Ophthalmologist in this region. However, pre-operative assessment requires rigorous laboratory screening to ensure patient safety during anesthesia and surgery. The report highlights a correlation between poor nutritional status (verified via lab tests) and slower postoperative healing rates among patients in Sudan.</w:t>
      </w:r>
    </w:p>
    <w:bookmarkEnd w:id="26"/>
    <w:bookmarkStart w:id="27" w:name="glaucoma-and-retinal-pathologies"/>
    <w:p>
      <w:pPr>
        <w:pStyle w:val="Heading3"/>
      </w:pPr>
      <w:r>
        <w:t xml:space="preserve">3.2. Glaucoma and Retinal Pathologies</w:t>
      </w:r>
    </w:p>
    <w:p>
      <w:pPr>
        <w:pStyle w:val="FirstParagraph"/>
      </w:pPr>
      <w:r>
        <w:t xml:space="preserve">The rise of undiagnosed glaucoma is concerning. An Ophthalmologist cannot effectively manage intraocular pressure without regular tonometry, but the underlying causes often require laboratory investigation for systemic hypertension or autoimmune disorders prevalent in Sudan, Khartoum.</w:t>
      </w:r>
    </w:p>
    <w:bookmarkEnd w:id="27"/>
    <w:bookmarkEnd w:id="28"/>
    <w:bookmarkStart w:id="29" w:name="X4428e8e111e2fa8ed5ed3675b58da778dc4b445"/>
    <w:p>
      <w:pPr>
        <w:pStyle w:val="Heading2"/>
      </w:pPr>
      <w:r>
        <w:t xml:space="preserve">4. Operational Challenges and Recommendations</w:t>
      </w:r>
    </w:p>
    <w:p>
      <w:pPr>
        <w:pStyle w:val="FirstParagraph"/>
      </w:pPr>
      <w:r>
        <w:t xml:space="preserve">The integration of laboratory reports with ophthalmological practice faces several hurdles in Sudan, Khartoum:</w:t>
      </w:r>
    </w:p>
    <w:p>
      <w:pPr>
        <w:numPr>
          <w:ilvl w:val="0"/>
          <w:numId w:val="1001"/>
        </w:numPr>
        <w:pStyle w:val="Compact"/>
      </w:pPr>
      <w:r>
        <w:rPr>
          <w:bCs/>
          <w:b/>
        </w:rPr>
        <w:t xml:space="preserve">Supply Chain Disruptions:</w:t>
      </w:r>
      <w:r>
        <w:t xml:space="preserve"> </w:t>
      </w:r>
      <w:r>
        <w:t xml:space="preserve">Reagents for specialized eye tests are often imported. Local sourcing must be increased to ensure the Ophthalmologist always has access to necessary lab results.</w:t>
      </w:r>
    </w:p>
    <w:p>
      <w:pPr>
        <w:numPr>
          <w:ilvl w:val="0"/>
          <w:numId w:val="1001"/>
        </w:numPr>
        <w:pStyle w:val="Compact"/>
      </w:pPr>
      <w:r>
        <w:rPr>
          <w:bCs/>
          <w:b/>
        </w:rPr>
        <w:t xml:space="preserve">Data Integration:</w:t>
      </w:r>
      <w:r>
        <w:t xml:space="preserve"> </w:t>
      </w:r>
      <w:r>
        <w:t xml:space="preserve">There is a lack of digital integration between the laboratory information system (LIS) and hospital records. An Ophthalmologist should ideally view lab results digitally, reducing wait times in Khartoum's busy clinics.</w:t>
      </w:r>
    </w:p>
    <w:p>
      <w:pPr>
        <w:numPr>
          <w:ilvl w:val="0"/>
          <w:numId w:val="1001"/>
        </w:numPr>
        <w:pStyle w:val="Compact"/>
      </w:pPr>
      <w:r>
        <w:rPr>
          <w:bCs/>
          <w:b/>
        </w:rPr>
        <w:t xml:space="preserve">Training:</w:t>
      </w:r>
      <w:r>
        <w:t xml:space="preserve"> </w:t>
      </w:r>
      <w:r>
        <w:t xml:space="preserve">Continuous professional development for both laboratory technicians and ophthalmologists is required to adapt to new technologies available in the global market.</w:t>
      </w:r>
    </w:p>
    <w:bookmarkEnd w:id="29"/>
    <w:bookmarkStart w:id="30" w:name="X8b952169bf23f7f9d657197607cdac33867c727"/>
    <w:p>
      <w:pPr>
        <w:pStyle w:val="Heading2"/>
      </w:pPr>
      <w:r>
        <w:t xml:space="preserve">5. Statistical Overview of Patient Demographics</w:t>
      </w:r>
    </w:p>
    <w:p>
      <w:pPr>
        <w:pStyle w:val="FirstParagraph"/>
      </w:pPr>
      <w:r>
        <w:t xml:space="preserve">The following table summarizes recent patient data from selected clinics in Sudan, Khartoum, highlighting the intersection of laboratory findings and ophthalmologist diagnoses.</w:t>
      </w:r>
    </w:p>
    <w:p>
      <w:pPr>
        <w:pStyle w:val="BodyText"/>
      </w:pPr>
      <w:r>
        <w:t xml:space="preserve">Patient Group</w:t>
      </w:r>
    </w:p>
    <w:p>
      <w:pPr>
        <w:pStyle w:val="BodyText"/>
      </w:pPr>
      <w:r>
        <w:t xml:space="preserve">Primary Complaint</w:t>
      </w:r>
    </w:p>
    <w:p>
      <w:pPr>
        <w:pStyle w:val="BodyText"/>
      </w:pPr>
      <w:r>
        <w:t xml:space="preserve">Laboratory Finding Prevalence</w:t>
      </w:r>
    </w:p>
    <w:p>
      <w:pPr>
        <w:pStyle w:val="BodyText"/>
      </w:pPr>
      <w:r>
        <w:t xml:space="preserve">Ophthalmologist Diagnosis Rate" " /&gt;=" true"&gt;</w:t>
      </w:r>
      <w:r>
        <w:t xml:space="preserve"> </w:t>
      </w:r>
      <w:r>
        <w:t xml:space="preserve">=" false "&gt; =" false "&gt; =" false "&gt;</w:t>
      </w:r>
    </w:p>
    <w:p>
      <w:pPr>
        <w:pStyle w:val="BodyText"/>
      </w:pPr>
      <w:r>
        <w:t xml:space="preserve">Elderly (&gt;60 years)</w:t>
      </w:r>
    </w:p>
    <w:p>
      <w:pPr>
        <w:pStyle w:val="BodyText"/>
      </w:pPr>
      <w:r>
        <w:t xml:space="preserve">Vision Blurring</w:t>
      </w:r>
    </w:p>
    <w:p>
      <w:pPr>
        <w:pStyle w:val="BodyText"/>
      </w:pPr>
      <w:r>
        <w:t xml:space="preserve">Hypertension (65%)</w:t>
      </w:r>
    </w:p>
    <w:p>
      <w:pPr>
        <w:pStyle w:val="BodyText"/>
      </w:pPr>
      <w:r>
        <w:t xml:space="preserve">40% Cataract, 25% Glaucoma =" true"="" &gt;</w:t>
      </w:r>
      <w:r>
        <w:t xml:space="preserve"> </w:t>
      </w:r>
      <w:r>
        <w:t xml:space="preserve">40 years)</w:t>
      </w:r>
    </w:p>
    <w:p>
      <w:pPr>
        <w:pStyle w:val="BodyText"/>
      </w:pPr>
      <w:r>
        <w:t xml:space="preserve">Floating Spots / Flashes</w:t>
      </w:r>
    </w:p>
    <w:p>
      <w:pPr>
        <w:pStyle w:val="BodyText"/>
      </w:pPr>
      <w:r>
        <w:t xml:space="preserve">Poor Glycemic Control (80%) =" true"="" &gt;</w:t>
      </w:r>
      <w:r>
        <w:t xml:space="preserve"> </w:t>
      </w:r>
      <w:r>
        <w:t xml:space="preserve">75% Diabetic Retinopathy, 15% Macular Edema.</w:t>
      </w:r>
    </w:p>
    <w:p>
      <w:pPr>
        <w:pStyle w:val="BodyText"/>
      </w:pPr>
      <w:r>
        <w:t xml:space="preserve">Youth (18-30 years)</w:t>
      </w:r>
    </w:p>
    <w:p>
      <w:pPr>
        <w:pStyle w:val="BodyText"/>
      </w:pPr>
      <w:r>
        <w:t xml:space="preserve">Pain / Redness</w:t>
      </w:r>
    </w:p>
    <w:p>
      <w:pPr>
        <w:pStyle w:val="BodyText"/>
      </w:pPr>
      <w:r>
        <w:rPr>
          <w:bCs/>
          <w:b/>
        </w:rPr>
        <w:t xml:space="preserve">Bacterial Culture Positive (45%)</w:t>
      </w:r>
      <w:r>
        <w:t xml:space="preserve">="" &gt; =" true"="" &gt;</w:t>
      </w:r>
      <w:r>
        <w:t xml:space="preserve"> </w:t>
      </w:r>
      <w:r>
        <w:t xml:space="preserve">60% Infectious Keratitis, 30% Allergic Conjunctivitis.</w:t>
      </w:r>
      <w:r>
        <w:t xml:space="preserve"> </w:t>
      </w:r>
      <w:r>
        <w:t xml:space="preserve">=" false"&gt;</w:t>
      </w:r>
    </w:p>
    <w:bookmarkEnd w:id="30"/>
    <w:bookmarkStart w:id="31" w:name="conclusion"/>
    <w:p>
      <w:pPr>
        <w:pStyle w:val="Heading2"/>
      </w:pPr>
      <w:r>
        <w:t xml:space="preserve">6. Conclusion</w:t>
      </w:r>
    </w:p>
    <w:p>
      <w:pPr>
        <w:pStyle w:val="FirstParagraph"/>
      </w:pPr>
      <w:r>
        <w:t xml:space="preserve">The efficacy of an Ophthalmologist in Sudan, Khartoum is directly proportional to the strength of the supporting laboratory infrastructure. This report underscores that clinical excellence cannot exist in a vacuum; it requires the empirical evidence provided by rigorous lab testing. As we move forward, stakeholders must prioritize funding and technological upgrades for laboratories serving ophthalmic departments.</w:t>
      </w:r>
    </w:p>
    <w:p>
      <w:pPr>
        <w:pStyle w:val="BodyText"/>
      </w:pPr>
      <w:r>
        <w:t xml:space="preserve">For the citizens of Sudan, particularly those in Khartoum, this integrated approach—where laboratory diagnostics guide ophthalmological treatment—represents the most viable path to preserving vision and improving quality of life. The recommendations herein call for immediate policy attention to bridge the gap between diagnostic capabilities and clinical application.</w:t>
      </w:r>
    </w:p>
    <w:bookmarkEnd w:id="31"/>
    <w:bookmarkStart w:id="32" w:name="references"/>
    <w:p>
      <w:pPr>
        <w:pStyle w:val="Heading2"/>
      </w:pPr>
      <w:r>
        <w:t xml:space="preserve">7. References</w:t>
      </w:r>
    </w:p>
    <w:p>
      <w:pPr>
        <w:pStyle w:val="FirstParagraph"/>
      </w:pPr>
      <w:r>
        <w:rPr>
          <w:iCs/>
          <w:i/>
        </w:rPr>
        <w:t xml:space="preserve">[Note: In a formal academic submission, specific citations from Sudan Ministry of Health annual reports, WHO data on blindness in the Eastern Mediterranean Region, and local journals from Khartoum University would be listed here.]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Report: Ophthalmological Services in Sudan, Khartoum</dc:title>
  <dc:creator/>
  <dc:language>en</dc:language>
  <cp:keywords/>
  <dcterms:created xsi:type="dcterms:W3CDTF">2026-07-29T05:14:31Z</dcterms:created>
  <dcterms:modified xsi:type="dcterms:W3CDTF">2026-07-29T05:14:31Z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