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Laboratory</w:t>
      </w:r>
      <w:r>
        <w:t xml:space="preserve"> </w:t>
      </w:r>
      <w:r>
        <w:t xml:space="preserve">Report:</w:t>
      </w:r>
      <w:r>
        <w:t xml:space="preserve"> </w:t>
      </w:r>
      <w:r>
        <w:t xml:space="preserve">Ophthalmic</w:t>
      </w:r>
      <w:r>
        <w:t xml:space="preserve"> </w:t>
      </w:r>
      <w:r>
        <w:t xml:space="preserve">Diagnostic</w:t>
      </w:r>
      <w:r>
        <w:t xml:space="preserve"> </w:t>
      </w:r>
      <w:r>
        <w:t xml:space="preserve">Analysis</w:t>
      </w:r>
      <w:r>
        <w:t xml:space="preserve"> </w:t>
      </w:r>
      <w:r>
        <w:t xml:space="preserve">in</w:t>
      </w:r>
      <w:r>
        <w:t xml:space="preserve"> </w:t>
      </w:r>
      <w:r>
        <w:t xml:space="preserve">Switzerland</w:t>
      </w:r>
      <w:r>
        <w:t xml:space="preserve"> </w:t>
      </w:r>
      <w:r>
        <w:t xml:space="preserve">Zurich</w:t>
      </w:r>
    </w:p>
    <w:bookmarkStart w:id="20" w:name="X5d85ee6797972db97152a7cd852daaeb88581f0"/>
    <w:p>
      <w:pPr>
        <w:pStyle w:val="Heading1"/>
      </w:pPr>
      <w:r>
        <w:t xml:space="preserve">Clinical Laboratory Report: Ophthalmic Diagnostic Analysis in Switzerland Zurich</w:t>
      </w:r>
    </w:p>
    <w:p>
      <w:pPr>
        <w:pStyle w:val="FirstParagraph"/>
      </w:pPr>
      <w:r>
        <w:rPr>
          <w:bCs/>
          <w:b/>
        </w:rPr>
        <w:t xml:space="preserve">Date of Issue:</w:t>
      </w:r>
      <w:r>
        <w:t xml:space="preserve"> </w:t>
      </w:r>
      <w:r>
        <w:t xml:space="preserve">October 26, 2023</w:t>
      </w:r>
      <w:r>
        <w:br/>
      </w:r>
      <w:r>
        <w:rPr>
          <w:bCs/>
          <w:b/>
        </w:rPr>
        <w:t xml:space="preserve">Patient ID:</w:t>
      </w:r>
      <w:r>
        <w:t xml:space="preserve"> </w:t>
      </w:r>
      <w:r>
        <w:t xml:space="preserve">CH-ZH-889402</w:t>
      </w:r>
      <w:r>
        <w:br/>
      </w:r>
    </w:p>
    <w:p>
      <w:pPr>
        <w:pStyle w:val="BodyText"/>
      </w:pPr>
      <w:r>
        <w:t xml:space="preserve">Institution:** Swiss Institute for Vision Sciences, Zurich Campus</w:t>
      </w:r>
      <w:r>
        <w:br/>
      </w:r>
    </w:p>
    <w:p>
      <w:pPr>
        <w:pStyle w:val="BodyText"/>
      </w:pPr>
      <w:r>
        <w:t xml:space="preserve">Consulting Physician:** Dr. Elena Müller, Senior Ophthalmologist</w:t>
      </w:r>
    </w:p>
    <w:bookmarkEnd w:id="20"/>
    <w:bookmarkStart w:id="21" w:name="executive-summary-and-objective"/>
    <w:p>
      <w:pPr>
        <w:pStyle w:val="Heading2"/>
      </w:pPr>
      <w:r>
        <w:t xml:space="preserve">1. Executive Summary and Objective</w:t>
      </w:r>
    </w:p>
    <w:p>
      <w:pPr>
        <w:pStyle w:val="FirstParagraph"/>
      </w:pPr>
      <w:r>
        <w:t xml:space="preserve">This comprehensive laboratory report details the diagnostic findings, procedural interventions, and clinical assessments performed under the supervision of a certified</w:t>
      </w:r>
      <w:r>
        <w:t xml:space="preserve"> </w:t>
      </w:r>
      <w:r>
        <w:rPr>
          <w:bCs/>
          <w:b/>
        </w:rPr>
        <w:t xml:space="preserve">Ophthalmologist</w:t>
      </w:r>
      <w:r>
        <w:t xml:space="preserve">. The primary objective of this document is to provide a rigorous analysis of ocular health metrics within the specific regulatory and medical framework of</w:t>
      </w:r>
      <w:r>
        <w:t xml:space="preserve"> </w:t>
      </w:r>
      <w:r>
        <w:rPr>
          <w:bCs/>
          <w:b/>
        </w:rPr>
        <w:t xml:space="preserve">Switzerland Zurich</w:t>
      </w:r>
      <w:r>
        <w:t xml:space="preserve">.</w:t>
      </w:r>
      <w:r>
        <w:t xml:space="preserve"> </w:t>
      </w:r>
      <w:r>
        <w:t xml:space="preserve">The scope of this report encompasses advanced imaging techniques, intraocular pressure measurements, and corneal topography. It is imperative to note that all procedures adhere strictly to the Swiss Federal Act on Hospitals and Medical Devices (HIM) as well as local cantonal regulations enforced in</w:t>
      </w:r>
      <w:r>
        <w:t xml:space="preserve"> </w:t>
      </w:r>
      <w:r>
        <w:rPr>
          <w:bCs/>
          <w:b/>
        </w:rPr>
        <w:t xml:space="preserve">Switzerland Zurich</w:t>
      </w:r>
      <w:r>
        <w:t xml:space="preserve">. The findings presented herein are critical for determining the necessity of surgical intervention or long-term management strategies for age-related macular degeneration and early-stage glaucoma.</w:t>
      </w:r>
    </w:p>
    <w:bookmarkEnd w:id="21"/>
    <w:bookmarkStart w:id="22" w:name="patient-history-and-clinical-background"/>
    <w:p>
      <w:pPr>
        <w:pStyle w:val="Heading2"/>
      </w:pPr>
      <w:r>
        <w:t xml:space="preserve">2. Patient History and Clinical Background</w:t>
      </w:r>
    </w:p>
    <w:p>
      <w:pPr>
        <w:pStyle w:val="FirstParagraph"/>
      </w:pPr>
      <w:r>
        <w:t xml:space="preserve">The patient, a 68-year-old male resident of</w:t>
      </w:r>
      <w:r>
        <w:t xml:space="preserve"> </w:t>
      </w:r>
      <w:r>
        <w:rPr>
          <w:bCs/>
          <w:b/>
        </w:rPr>
        <w:t xml:space="preserve">Zurich</w:t>
      </w:r>
      <w:r>
        <w:t xml:space="preserve">, presented with complaints of gradual peripheral vision loss and occasional photopsia (flashes of light) in the left eye over the preceding six months. Given the high prevalence of hereditary eye conditions in this demographic, a thorough genetic counseling session was also conducted prior to physical examination.</w:t>
      </w:r>
      <w:r>
        <w:t xml:space="preserve"> </w:t>
      </w:r>
      <w:r>
        <w:t xml:space="preserve">The patient’s medical history includes managed hypertension and type 2 diabetes mellitus, both of which are significant risk factors for diabetic retinopathy and hypertensive choroidopathy. It is noteworthy that the healthcare infrastructure in</w:t>
      </w:r>
      <w:r>
        <w:t xml:space="preserve"> </w:t>
      </w:r>
      <w:r>
        <w:rPr>
          <w:bCs/>
          <w:b/>
        </w:rPr>
        <w:t xml:space="preserve">Switzerland Zurich</w:t>
      </w:r>
      <w:r>
        <w:t xml:space="preserve"> </w:t>
      </w:r>
      <w:r>
        <w:t xml:space="preserve">offers state-of-the-art facilities that facilitate immediate access to electronic health records, ensuring continuity of care between primary care physicians and specialized</w:t>
      </w:r>
      <w:r>
        <w:t xml:space="preserve"> </w:t>
      </w:r>
      <w:r>
        <w:rPr>
          <w:bCs/>
          <w:b/>
        </w:rPr>
        <w:t xml:space="preserve">Ophthalmologist</w:t>
      </w:r>
      <w:r>
        <w:t xml:space="preserve"> </w:t>
      </w:r>
      <w:r>
        <w:t xml:space="preserve">services.</w:t>
      </w:r>
    </w:p>
    <w:bookmarkEnd w:id="22"/>
    <w:bookmarkStart w:id="26" w:name="X7b9b6558b2c3867cc48450ca862887f528cc6d5"/>
    <w:p>
      <w:pPr>
        <w:pStyle w:val="Heading2"/>
      </w:pPr>
      <w:r>
        <w:t xml:space="preserve">3. Diagnostic Methodology and Laboratory Procedures</w:t>
      </w:r>
    </w:p>
    <w:p>
      <w:pPr>
        <w:pStyle w:val="FirstParagraph"/>
      </w:pPr>
      <w:r>
        <w:t xml:space="preserve">To ensure diagnostic accuracy, a multi-modal assessment protocol was employed. Each procedure was calibrated according to the precision standards expected in</w:t>
      </w:r>
      <w:r>
        <w:t xml:space="preserve"> </w:t>
      </w:r>
      <w:r>
        <w:rPr>
          <w:bCs/>
          <w:b/>
        </w:rPr>
        <w:t xml:space="preserve">Zurich’s</w:t>
      </w:r>
      <w:r>
        <w:t xml:space="preserve"> </w:t>
      </w:r>
      <w:r>
        <w:t xml:space="preserve">tertiary care centers. The following methodologies were utilized:</w:t>
      </w:r>
    </w:p>
    <w:bookmarkStart w:id="23" w:name="optical-coherence-tomography-oct"/>
    <w:p>
      <w:pPr>
        <w:pStyle w:val="Heading3"/>
      </w:pPr>
      <w:r>
        <w:t xml:space="preserve">3.1 Optical Coherence Tomography (OCT)</w:t>
      </w:r>
    </w:p>
    <w:p>
      <w:pPr>
        <w:pStyle w:val="FirstParagraph"/>
      </w:pPr>
      <w:r>
        <w:t xml:space="preserve">High-resolution OCT scans were performed to visualize the retinal layers with micron-level precision. This non-invasive imaging technique is a cornerstone of modern ophthalmic diagnostics in</w:t>
      </w:r>
      <w:r>
        <w:t xml:space="preserve"> </w:t>
      </w:r>
      <w:r>
        <w:rPr>
          <w:bCs/>
          <w:b/>
        </w:rPr>
        <w:t xml:space="preserve">Switzerland</w:t>
      </w:r>
      <w:r>
        <w:t xml:space="preserve">. The scan revealed significant thinning of the retinal nerve fiber layer (RNFL) in the superior and inferior quadrants, suggestive of glaucomatous damage. Furthermore, subfoveal choroidal thickness was measured to rule out polypoidal choroidal vasculopathy.</w:t>
      </w:r>
    </w:p>
    <w:bookmarkEnd w:id="23"/>
    <w:bookmarkStart w:id="24" w:name="visual-field-analysis-perimetry"/>
    <w:p>
      <w:pPr>
        <w:pStyle w:val="Heading3"/>
      </w:pPr>
      <w:r>
        <w:t xml:space="preserve">3.2 Visual Field Analysis (Perimetry)</w:t>
      </w:r>
    </w:p>
    <w:p>
      <w:pPr>
        <w:pStyle w:val="FirstParagraph"/>
      </w:pPr>
      <w:r>
        <w:t xml:space="preserve">A 24-2 Humphrey visual field test was conducted using automated static perimetry. This laboratory assessment quantifies the patient’s functional visual field, mapping out scotomas (areas of reduced vision). The results indicated a nasal step defect in the left eye, correlating with the structural findings observed via OCT. In</w:t>
      </w:r>
      <w:r>
        <w:t xml:space="preserve"> </w:t>
      </w:r>
      <w:r>
        <w:rPr>
          <w:bCs/>
          <w:b/>
        </w:rPr>
        <w:t xml:space="preserve">Zurich</w:t>
      </w:r>
      <w:r>
        <w:t xml:space="preserve">, such tests are typically performed using Humphrey Field Analyzers IIi or III models, which are certified for clinical use by Swiss authorities.</w:t>
      </w:r>
    </w:p>
    <w:bookmarkEnd w:id="24"/>
    <w:bookmarkStart w:id="25" w:name="pachymetry-and-applanation-tonometry"/>
    <w:p>
      <w:pPr>
        <w:pStyle w:val="Heading3"/>
      </w:pPr>
      <w:r>
        <w:t xml:space="preserve">3.3 Pachymetry and Applanation Tonometry</w:t>
      </w:r>
    </w:p>
    <w:p>
      <w:pPr>
        <w:pStyle w:val="FirstParagraph"/>
      </w:pPr>
      <w:r>
        <w:t xml:space="preserve">Central corneal thickness (CCT) was measured to correct intraocular pressure (IOP) readings accurately. Corneal hysteresis was also assessed to determine the biomechanical properties of the cornea. These metrics are crucial for an</w:t>
      </w:r>
      <w:r>
        <w:t xml:space="preserve"> </w:t>
      </w:r>
      <w:r>
        <w:rPr>
          <w:bCs/>
          <w:b/>
        </w:rPr>
        <w:t xml:space="preserve">Ophthalmologist</w:t>
      </w:r>
      <w:r>
        <w:t xml:space="preserve"> </w:t>
      </w:r>
      <w:r>
        <w:t xml:space="preserve">to distinguish between true ocular hypertension and false-positive readings caused by thick or thin corneas.</w:t>
      </w:r>
    </w:p>
    <w:bookmarkEnd w:id="25"/>
    <w:bookmarkEnd w:id="26"/>
    <w:bookmarkStart w:id="28" w:name="laboratory-results-and-data-analysis"/>
    <w:p>
      <w:pPr>
        <w:pStyle w:val="Heading2"/>
      </w:pPr>
      <w:r>
        <w:t xml:space="preserve">4. Laboratory Results and Data Analysis</w:t>
      </w:r>
    </w:p>
    <w:p>
      <w:pPr>
        <w:pStyle w:val="FirstParagraph"/>
      </w:pPr>
      <w:r>
        <w:t xml:space="preserve">The following table summarizes the key quantitative data obtained during this laboratory session:</w:t>
      </w:r>
    </w:p>
    <w:p>
      <w:pPr>
        <w:pStyle w:val="BodyText"/>
      </w:pPr>
      <w:r>
        <w:t xml:space="preserve">Metric</w:t>
      </w:r>
    </w:p>
    <w:p>
      <w:pPr>
        <w:pStyle w:val="BodyText"/>
      </w:pPr>
      <w:r>
        <w:t xml:space="preserve">Right Eye (OD)</w:t>
      </w:r>
    </w:p>
    <w:p>
      <w:pPr>
        <w:pStyle w:val="BodyText"/>
      </w:pPr>
      <w:r>
        <w:t xml:space="preserve">Left Eye (OS)</w:t>
      </w:r>
    </w:p>
    <w:p>
      <w:pPr>
        <w:pStyle w:val="BodyText"/>
      </w:pPr>
      <w:r>
        <w:t xml:space="preserve">Clinical Significance</w:t>
      </w:r>
    </w:p>
    <w:p>
      <w:pPr>
        <w:pStyle w:val="BodyText"/>
      </w:pPr>
      <w:r>
        <w:br/>
      </w:r>
    </w:p>
    <w:p>
      <w:pPr>
        <w:pStyle w:val="BodyText"/>
      </w:pPr>
      <w:r>
        <w:br/>
      </w:r>
    </w:p>
    <w:bookmarkStart w:id="27" w:name="section"/>
    <w:p>
      <w:pPr>
        <w:pStyle w:val="Heading3"/>
      </w:pPr>
    </w:p>
    <w:p>
      <w:pPr>
        <w:pStyle w:val="FirstParagraph"/>
      </w:pPr>
      <w:r>
        <w:t xml:space="preserve">The data indicates a statistically significant discrepancy between the two eyes regarding RNFL thickness and IOP stability. The right eye remains within normal limits, while the left eye demonstrates progressive structural damage. This asymmetry is a hallmark of primary open-angle glaucoma, a condition frequently managed by</w:t>
      </w:r>
      <w:r>
        <w:t xml:space="preserve"> </w:t>
      </w:r>
      <w:r>
        <w:rPr>
          <w:bCs/>
          <w:b/>
        </w:rPr>
        <w:t xml:space="preserve">Ophthalmologist</w:t>
      </w:r>
      <w:r>
        <w:t xml:space="preserve"> </w:t>
      </w:r>
      <w:r>
        <w:t xml:space="preserve">specialists in</w:t>
      </w:r>
      <w:r>
        <w:t xml:space="preserve"> </w:t>
      </w:r>
      <w:r>
        <w:rPr>
          <w:bCs/>
          <w:b/>
        </w:rPr>
        <w:t xml:space="preserve">Switzerland Zurich</w:t>
      </w:r>
      <w:r>
        <w:t xml:space="preserve">.</w:t>
      </w:r>
    </w:p>
    <w:bookmarkEnd w:id="27"/>
    <w:bookmarkEnd w:id="28"/>
    <w:bookmarkStart w:id="29" w:name="interpretation-and-diagnostic-conclusion"/>
    <w:p>
      <w:pPr>
        <w:pStyle w:val="Heading2"/>
      </w:pPr>
      <w:r>
        <w:t xml:space="preserve">5. Interpretation and Diagnostic Conclusion</w:t>
      </w:r>
    </w:p>
    <w:p>
      <w:pPr>
        <w:pStyle w:val="FirstParagraph"/>
      </w:pPr>
      <w:r>
        <w:t xml:space="preserve">Based on the convergence of structural data from OCT and functional deficits from perimetry, the diagnosis is confirmed as **Primary Open-Angle Glaucoma (POAG), Moderate Stage**, with concurrent Early Diabetic Retinopathy.</w:t>
      </w:r>
      <w:r>
        <w:t xml:space="preserve"> </w:t>
      </w:r>
      <w:r>
        <w:t xml:space="preserve">The interpretation relies heavily on the expertise of a qualified</w:t>
      </w:r>
      <w:r>
        <w:t xml:space="preserve"> </w:t>
      </w:r>
      <w:r>
        <w:rPr>
          <w:bCs/>
          <w:b/>
        </w:rPr>
        <w:t xml:space="preserve">Ophthalmologist</w:t>
      </w:r>
      <w:r>
        <w:t xml:space="preserve"> </w:t>
      </w:r>
      <w:r>
        <w:t xml:space="preserve">who must weigh these laboratory results against the patient’s systemic health profile. In the context of</w:t>
      </w:r>
      <w:r>
        <w:t xml:space="preserve"> </w:t>
      </w:r>
      <w:r>
        <w:rPr>
          <w:bCs/>
          <w:b/>
        </w:rPr>
        <w:t xml:space="preserve">Switzerland Zurich</w:t>
      </w:r>
      <w:r>
        <w:t xml:space="preserve">, where preventive medicine is highly emphasized, early intervention is paramount to preserve quality of life and prevent irreversible blindness. The specific environmental lighting conditions and lifestyle factors common in urban</w:t>
      </w:r>
      <w:r>
        <w:t xml:space="preserve"> </w:t>
      </w:r>
      <w:r>
        <w:rPr>
          <w:bCs/>
          <w:b/>
        </w:rPr>
        <w:t xml:space="preserve">Zurich</w:t>
      </w:r>
      <w:r>
        <w:t xml:space="preserve"> </w:t>
      </w:r>
      <w:r>
        <w:t xml:space="preserve">were also considered when advising on photoprotection strategies.</w:t>
      </w:r>
    </w:p>
    <w:bookmarkEnd w:id="29"/>
    <w:bookmarkStart w:id="30" w:name="Xb7c4cd2e185809d227921e1b70be606bba11800"/>
    <w:p>
      <w:pPr>
        <w:pStyle w:val="Heading2"/>
      </w:pPr>
      <w:r>
        <w:t xml:space="preserve">6. Therapeutic Recommendations and Management Plan</w:t>
      </w:r>
    </w:p>
    <w:p>
      <w:pPr>
        <w:pStyle w:val="FirstParagraph"/>
      </w:pPr>
      <w:r>
        <w:t xml:space="preserve">To halt disease progression, the following management plan is prescribed:</w:t>
      </w:r>
    </w:p>
    <w:p>
      <w:pPr>
        <w:numPr>
          <w:ilvl w:val="0"/>
          <w:numId w:val="1001"/>
        </w:numPr>
        <w:pStyle w:val="Compact"/>
      </w:pPr>
      <w:r>
        <w:rPr>
          <w:bCs/>
          <w:b/>
        </w:rPr>
        <w:t xml:space="preserve">Pharmacological Intervention:</w:t>
      </w:r>
    </w:p>
    <w:p>
      <w:pPr>
        <w:numPr>
          <w:ilvl w:val="0"/>
          <w:numId w:val="1001"/>
        </w:numPr>
        <w:pStyle w:val="Compact"/>
      </w:pPr>
      <w:r>
        <w:rPr>
          <w:bCs/>
          <w:b/>
        </w:rPr>
        <w:t xml:space="preserve">Lifestyle Modifications:</w:t>
      </w:r>
    </w:p>
    <w:p>
      <w:pPr>
        <w:numPr>
          <w:ilvl w:val="0"/>
          <w:numId w:val="1001"/>
        </w:numPr>
        <w:pStyle w:val="Compact"/>
      </w:pPr>
      <w:r>
        <w:rPr>
          <w:bCs/>
          <w:b/>
        </w:rPr>
        <w:t xml:space="preserve">Follow-up Schedule:</w:t>
      </w:r>
    </w:p>
    <w:p>
      <w:pPr>
        <w:numPr>
          <w:ilvl w:val="0"/>
          <w:numId w:val="1001"/>
        </w:numPr>
        <w:pStyle w:val="Compact"/>
      </w:pPr>
      <w:r>
        <w:rPr>
          <w:bCs/>
          <w:b/>
        </w:rPr>
        <w:t xml:space="preserve">Surgical Consideration:</w:t>
      </w:r>
    </w:p>
    <w:bookmarkEnd w:id="30"/>
    <w:bookmarkStart w:id="31" w:name="X74d2777531fe9bf0b923c9f7177cf2b369463da"/>
    <w:p>
      <w:pPr>
        <w:pStyle w:val="Heading2"/>
      </w:pPr>
      <w:r>
        <w:t xml:space="preserve">7. Regulatory Compliance and Ethical Considerations</w:t>
      </w:r>
    </w:p>
    <w:p>
      <w:pPr>
        <w:pStyle w:val="FirstParagraph"/>
      </w:pPr>
      <w:r>
        <w:t xml:space="preserve">This laboratory report complies with the Swiss Data Protection Act (nFADP), ensuring that all patient data remains confidential. The use of diagnostic equipment in</w:t>
      </w:r>
      <w:r>
        <w:t xml:space="preserve"> </w:t>
      </w:r>
      <w:r>
        <w:rPr>
          <w:bCs/>
          <w:b/>
        </w:rPr>
        <w:t xml:space="preserve">Zurich</w:t>
      </w:r>
      <w:r>
        <w:t xml:space="preserve"> </w:t>
      </w:r>
      <w:r>
        <w:t xml:space="preserve">is certified by the Swissmedic authority, guaranteeing that all materials and devices used meet rigorous safety and efficacy standards.</w:t>
      </w:r>
      <w:r>
        <w:t xml:space="preserve"> </w:t>
      </w:r>
      <w:r>
        <w:t xml:space="preserve">Furthermore, this document acknowledges the ethical obligation of every</w:t>
      </w:r>
      <w:r>
        <w:t xml:space="preserve"> </w:t>
      </w:r>
      <w:r>
        <w:rPr>
          <w:bCs/>
          <w:b/>
        </w:rPr>
        <w:t xml:space="preserve">Ophthalmologist</w:t>
      </w:r>
      <w:r>
        <w:t xml:space="preserve"> </w:t>
      </w:r>
      <w:r>
        <w:t xml:space="preserve">to provide informed consent procedures thoroughly documented in the patient file. The transparency required by healthcare providers in</w:t>
      </w:r>
      <w:r>
        <w:t xml:space="preserve"> </w:t>
      </w:r>
      <w:r>
        <w:rPr>
          <w:bCs/>
          <w:b/>
        </w:rPr>
        <w:t xml:space="preserve">Switzerland Zurich</w:t>
      </w:r>
      <w:r>
        <w:t xml:space="preserve"> </w:t>
      </w:r>
      <w:r>
        <w:t xml:space="preserve">mandates that patients are fully aware of their diagnosis, prognosis, and available treatment options before any intervention occurs.</w:t>
      </w:r>
    </w:p>
    <w:bookmarkEnd w:id="31"/>
    <w:bookmarkStart w:id="32" w:name="conclusion"/>
    <w:p>
      <w:pPr>
        <w:pStyle w:val="Heading2"/>
      </w:pPr>
      <w:r>
        <w:t xml:space="preserve">8. Conclusion</w:t>
      </w:r>
    </w:p>
    <w:p>
      <w:pPr>
        <w:pStyle w:val="FirstParagraph"/>
      </w:pPr>
      <w:r>
        <w:t xml:space="preserve">In conclusion, this laboratory report provides a detailed account of the ocular pathology observed in a patient residing in</w:t>
      </w:r>
      <w:r>
        <w:t xml:space="preserve"> </w:t>
      </w:r>
      <w:r>
        <w:rPr>
          <w:bCs/>
          <w:b/>
        </w:rPr>
        <w:t xml:space="preserve">Zurich</w:t>
      </w:r>
      <w:r>
        <w:t xml:space="preserve">. The integration of advanced imaging technologies and rigorous clinical testing has allowed for an accurate diagnosis managed by expert ophthalmic care. The findings underscore the importance of regular screening and early intervention in managing chronic eye diseases within the sophisticated healthcare ecosystem of</w:t>
      </w:r>
      <w:r>
        <w:t xml:space="preserve"> </w:t>
      </w:r>
      <w:r>
        <w:rPr>
          <w:bCs/>
          <w:b/>
        </w:rPr>
        <w:t xml:space="preserve">Switzerland Zurich</w:t>
      </w:r>
      <w:r>
        <w:t xml:space="preserve">.</w:t>
      </w:r>
      <w:r>
        <w:t xml:space="preserve"> </w:t>
      </w:r>
      <w:r>
        <w:t xml:space="preserve">Continued monitoring by a dedicated</w:t>
      </w:r>
      <w:r>
        <w:t xml:space="preserve"> </w:t>
      </w:r>
      <w:r>
        <w:rPr>
          <w:bCs/>
          <w:b/>
        </w:rPr>
        <w:t xml:space="preserve">Ophthalmologist</w:t>
      </w:r>
      <w:r>
        <w:t xml:space="preserve"> </w:t>
      </w:r>
      <w:r>
        <w:t xml:space="preserve">is essential to preserve visual acuity and maintain the patient’s independence. This document serves as both a clinical record and a guide for future therapeutic decisions, reflecting the high standards of medical excellence associated with healthcare in this region.</w:t>
      </w:r>
      <w:r>
        <w:br/>
      </w:r>
      <w:r>
        <w:br/>
      </w:r>
    </w:p>
    <w:p>
      <w:pPr>
        <w:pStyle w:val="BodyText"/>
      </w:pPr>
      <w:r>
        <w:rPr>
          <w:iCs/>
          <w:i/>
        </w:rPr>
        <w:t xml:space="preserve">Dr. Elena Müller, MD, PhD</w:t>
      </w:r>
      <w:r>
        <w:br/>
      </w:r>
      <w:r>
        <w:t xml:space="preserve">Senior Ophthalmologist</w:t>
      </w:r>
      <w:r>
        <w:br/>
      </w:r>
      <w:r>
        <w:t xml:space="preserve">Swiss Institute for Vision Sciences,</w:t>
      </w:r>
      <w:r>
        <w:br/>
      </w:r>
      <w:r>
        <w:t xml:space="preserve">Zurich, Switzerland</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Laboratory Report: Ophthalmic Diagnostic Analysis in Switzerland Zurich</dc:title>
  <dc:creator/>
  <cp:keywords/>
  <dcterms:created xsi:type="dcterms:W3CDTF">2026-07-29T21:09:15Z</dcterms:created>
  <dcterms:modified xsi:type="dcterms:W3CDTF">2026-07-29T21:09:15Z</dcterms:modified>
</cp:coreProperties>
</file>

<file path=docProps/custom.xml><?xml version="1.0" encoding="utf-8"?>
<Properties xmlns="http://schemas.openxmlformats.org/officeDocument/2006/custom-properties" xmlns:vt="http://schemas.openxmlformats.org/officeDocument/2006/docPropsVTypes"/>
</file>