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Ophthalmologist</w:t>
      </w:r>
      <w:r>
        <w:t xml:space="preserve"> </w:t>
      </w:r>
      <w:r>
        <w:t xml:space="preserve">Assessment</w:t>
      </w:r>
      <w:r>
        <w:t xml:space="preserve"> </w:t>
      </w:r>
      <w:r>
        <w:t xml:space="preserve">in</w:t>
      </w:r>
      <w:r>
        <w:t xml:space="preserve"> </w:t>
      </w:r>
      <w:r>
        <w:t xml:space="preserve">Turkey</w:t>
      </w:r>
      <w:r>
        <w:t xml:space="preserve"> </w:t>
      </w:r>
      <w:r>
        <w:t xml:space="preserve">Ankara</w:t>
      </w:r>
    </w:p>
    <w:bookmarkStart w:id="28" w:name="X58434ad3a9752554e6f6b42d11b9c2bd93abb81"/>
    <w:p>
      <w:pPr>
        <w:pStyle w:val="Heading1"/>
      </w:pPr>
      <w:r>
        <w:t xml:space="preserve">Clinical Laboratory Report: Comprehensive Ophthalmologist Evaluation Protocol in Turkey Ankara</w:t>
      </w:r>
    </w:p>
    <w:p>
      <w:pPr>
        <w:pStyle w:val="FirstParagraph"/>
      </w:pPr>
      <w:r>
        <w:rPr>
          <w:bCs/>
          <w:b/>
        </w:rPr>
        <w:t xml:space="preserve">Date of Issue:</w:t>
      </w:r>
      <w:r>
        <w:t xml:space="preserve"> </w:t>
      </w:r>
      <w:r>
        <w:t xml:space="preserve">October 26, 2023</w:t>
      </w:r>
      <w:r>
        <w:br/>
      </w:r>
      <w:r>
        <w:rPr>
          <w:bCs/>
          <w:b/>
        </w:rPr>
        <w:t xml:space="preserve">Patient ID:</w:t>
      </w:r>
      <w:r>
        <w:t xml:space="preserve"> </w:t>
      </w:r>
      <w:r>
        <w:t xml:space="preserve">ANK-OPH-8940-X</w:t>
      </w:r>
      <w:r>
        <w:br/>
      </w:r>
      <w:r>
        <w:rPr>
          <w:bCs/>
          <w:b/>
        </w:rPr>
        <w:t xml:space="preserve">Facility Location:</w:t>
      </w:r>
      <w:r>
        <w:t xml:space="preserve"> </w:t>
      </w:r>
      <w:r>
        <w:t xml:space="preserve">Ankara University Medical Center, Department of Ophthalmology, Turkey Ankara</w:t>
      </w:r>
    </w:p>
    <w:bookmarkStart w:id="20" w:name="i.-executive-summary-and-introduction"/>
    <w:p>
      <w:pPr>
        <w:pStyle w:val="Heading2"/>
      </w:pPr>
      <w:r>
        <w:t xml:space="preserve">I. Executive Summary and Introduction</w:t>
      </w:r>
    </w:p>
    <w:p>
      <w:pPr>
        <w:pStyle w:val="FirstParagraph"/>
      </w:pPr>
      <w:r>
        <w:t xml:space="preserve">This document serves as a formal laboratory report detailing the procedural framework, clinical significance, and diagnostic outcomes associated with an</w:t>
      </w:r>
      <w:r>
        <w:t xml:space="preserve"> </w:t>
      </w:r>
      <w:r>
        <w:t xml:space="preserve">Ophthalmologist</w:t>
      </w:r>
      <w:r>
        <w:t xml:space="preserve"> </w:t>
      </w:r>
      <w:r>
        <w:t xml:space="preserve">consultation within the medical infrastructure of</w:t>
      </w:r>
      <w:r>
        <w:t xml:space="preserve"> </w:t>
      </w:r>
      <w:r>
        <w:rPr>
          <w:bCs/>
          <w:b/>
        </w:rPr>
        <w:t xml:space="preserve">Turkey Ankara</w:t>
      </w:r>
      <w:r>
        <w:t xml:space="preserve">. As a hub for advanced healthcare services in Central Anatolia, Ankara provides state-of-the-art facilities where precision diagnostics are paramount. The primary objective of this report is to analyze the standard operating procedures employed by specialized eye care professionals in this region, ensuring that patient safety and diagnostic accuracy meet international standards.</w:t>
      </w:r>
      <w:r>
        <w:t xml:space="preserve"> </w:t>
      </w:r>
      <w:r>
        <w:t xml:space="preserve">The integration of advanced optical coherence tomography (OCT), automated perimetry, and digital fundus photography has revolutionized the role of the modern</w:t>
      </w:r>
      <w:r>
        <w:t xml:space="preserve"> </w:t>
      </w:r>
      <w:r>
        <w:t xml:space="preserve">Ophthalmologist</w:t>
      </w:r>
      <w:r>
        <w:t xml:space="preserve"> </w:t>
      </w:r>
      <w:r>
        <w:t xml:space="preserve">in Turkey. This report outlines how these technologies are utilized in Ankara’s leading clinics to diagnose conditions ranging from refractive errors to complex retinal pathologies. By focusing on the specific medical landscape of</w:t>
      </w:r>
      <w:r>
        <w:t xml:space="preserve"> </w:t>
      </w:r>
      <w:r>
        <w:rPr>
          <w:bCs/>
          <w:b/>
        </w:rPr>
        <w:t xml:space="preserve">Turkey Ankara</w:t>
      </w:r>
      <w:r>
        <w:t xml:space="preserve">, this document highlights the rigorous training and technological integration that define contemporary ophthalmic care in the capital city.</w:t>
      </w:r>
    </w:p>
    <w:bookmarkEnd w:id="20"/>
    <w:bookmarkStart w:id="24" w:name="ii.-diagnostic-methodology"/>
    <w:p>
      <w:pPr>
        <w:pStyle w:val="Heading2"/>
      </w:pPr>
      <w:r>
        <w:t xml:space="preserve">II. Diagnostic Methodology</w:t>
      </w:r>
    </w:p>
    <w:p>
      <w:pPr>
        <w:pStyle w:val="FirstParagraph"/>
      </w:pPr>
      <w:r>
        <w:t xml:space="preserve">The assessment conducted by an</w:t>
      </w:r>
      <w:r>
        <w:t xml:space="preserve"> </w:t>
      </w:r>
      <w:r>
        <w:t xml:space="preserve">Ophthalmologist</w:t>
      </w:r>
      <w:r>
        <w:t xml:space="preserve"> </w:t>
      </w:r>
      <w:r>
        <w:t xml:space="preserve">in this facility follows a strict protocol designed to maximize diagnostic yield. The process begins with a comprehensive patient history, followed by a series of objective and subjective tests. In the context of healthcare delivery in</w:t>
      </w:r>
      <w:r>
        <w:t xml:space="preserve"> </w:t>
      </w:r>
      <w:r>
        <w:rPr>
          <w:bCs/>
          <w:b/>
        </w:rPr>
        <w:t xml:space="preserve">Turkey Ankara</w:t>
      </w:r>
      <w:r>
        <w:t xml:space="preserve">, these protocols are often aligned with both European Union guidelines and local Ministry of Health regulations, ensuring consistency across the nation’s medical centers.</w:t>
      </w:r>
    </w:p>
    <w:bookmarkStart w:id="21" w:name="visual-acuity-and-refraction-testing"/>
    <w:p>
      <w:pPr>
        <w:pStyle w:val="Heading3"/>
      </w:pPr>
      <w:r>
        <w:t xml:space="preserve">2.1 Visual Acuity and Refraction Testing</w:t>
      </w:r>
    </w:p>
    <w:p>
      <w:pPr>
        <w:pStyle w:val="FirstParagraph"/>
      </w:pPr>
      <w:r>
        <w:t xml:space="preserve">The initial phase involves measuring best-corrected visual acuity (BCVA) using standardized Snellen charts. This is followed by autorefractometry to determine the patient's refractive error. In Ankara, where high prevalence of digital eye strain has been noted among urban professionals, these baseline measurements are critical for early intervention.</w:t>
      </w:r>
    </w:p>
    <w:bookmarkEnd w:id="21"/>
    <w:bookmarkStart w:id="22" w:name="slit-lamp-biomicroscopy"/>
    <w:p>
      <w:pPr>
        <w:pStyle w:val="Heading3"/>
      </w:pPr>
      <w:r>
        <w:t xml:space="preserve">2.2 Slit-Lamp Biomicroscopy</w:t>
      </w:r>
    </w:p>
    <w:p>
      <w:pPr>
        <w:pStyle w:val="FirstParagraph"/>
      </w:pPr>
      <w:r>
        <w:t xml:space="preserve">An</w:t>
      </w:r>
      <w:r>
        <w:t xml:space="preserve"> </w:t>
      </w:r>
      <w:r>
        <w:t xml:space="preserve">Ophthalmologist</w:t>
      </w:r>
      <w:r>
        <w:t xml:space="preserve"> </w:t>
      </w:r>
      <w:r>
        <w:t xml:space="preserve">utilizes slit-lamp biomicroscopy to examine the anterior segment of the eye, including the cornea, iris, and lens. This procedure is essential for detecting conditions such as cataracts, keratitis, and dry eye syndrome. The equipment used in facilities across</w:t>
      </w:r>
      <w:r>
        <w:t xml:space="preserve"> </w:t>
      </w:r>
      <w:r>
        <w:rPr>
          <w:bCs/>
          <w:b/>
        </w:rPr>
        <w:t xml:space="preserve">Turkey Ankara</w:t>
      </w:r>
      <w:r>
        <w:t xml:space="preserve"> </w:t>
      </w:r>
      <w:r>
        <w:t xml:space="preserve">typically features high-intensity illumination systems that allow for detailed visualization of microscopic structures.</w:t>
      </w:r>
    </w:p>
    <w:bookmarkEnd w:id="22"/>
    <w:bookmarkStart w:id="23" w:name="retinal-imaging-and-oct-scanning"/>
    <w:p>
      <w:pPr>
        <w:pStyle w:val="Heading3"/>
      </w:pPr>
      <w:r>
        <w:t xml:space="preserve">2.3 Retinal Imaging and OCT Scanning</w:t>
      </w:r>
    </w:p>
    <w:p>
      <w:pPr>
        <w:pStyle w:val="FirstParagraph"/>
      </w:pPr>
      <w:r>
        <w:t xml:space="preserve">Post-dilation fundus examination is performed to assess the health of the retina and optic nerve head. Advanced Optical Coherence Tomography (OCT) scans are routinely integrated into this workflow in</w:t>
      </w:r>
      <w:r>
        <w:t xml:space="preserve"> </w:t>
      </w:r>
      <w:r>
        <w:rPr>
          <w:bCs/>
          <w:b/>
        </w:rPr>
        <w:t xml:space="preserve">Turkey Ankara</w:t>
      </w:r>
      <w:r>
        <w:t xml:space="preserve">. These cross-sectional images provide micron-level resolution, allowing for the early detection of glaucoma, macular degeneration, and diabetic retinopathy. The data generated here is crucial for longitudinal monitoring and surgical planning.</w:t>
      </w:r>
    </w:p>
    <w:bookmarkEnd w:id="23"/>
    <w:bookmarkEnd w:id="24"/>
    <w:bookmarkStart w:id="25" w:name="iii.-clinical-findings-and-observations"/>
    <w:p>
      <w:pPr>
        <w:pStyle w:val="Heading2"/>
      </w:pPr>
      <w:r>
        <w:t xml:space="preserve">III. Clinical Findings and Observations</w:t>
      </w:r>
    </w:p>
    <w:p>
      <w:pPr>
        <w:pStyle w:val="FirstParagraph"/>
      </w:pPr>
      <w:r>
        <w:t xml:space="preserve">Based on the standard evaluation criteria applied by an</w:t>
      </w:r>
      <w:r>
        <w:t xml:space="preserve"> </w:t>
      </w:r>
      <w:r>
        <w:t xml:space="preserve">Ophthalmologist</w:t>
      </w:r>
      <w:r>
        <w:t xml:space="preserve"> </w:t>
      </w:r>
      <w:r>
        <w:t xml:space="preserve">in this region, several common clinical presentations are observed among patients seeking care in</w:t>
      </w:r>
      <w:r>
        <w:t xml:space="preserve"> </w:t>
      </w:r>
      <w:r>
        <w:rPr>
          <w:bCs/>
          <w:b/>
        </w:rPr>
        <w:t xml:space="preserve">Turkey Ankara</w:t>
      </w:r>
      <w:r>
        <w:t xml:space="preserve">. The following findings represent typical data patterns found in routine assessments:</w:t>
      </w:r>
    </w:p>
    <w:p>
      <w:pPr>
        <w:pStyle w:val="BodyText"/>
      </w:pPr>
      <w:r>
        <w:t xml:space="preserve">Clinical Parameter</w:t>
      </w:r>
    </w:p>
    <w:p>
      <w:pPr>
        <w:pStyle w:val="BodyText"/>
      </w:pPr>
      <w:r>
        <w:t xml:space="preserve">Normal Range (Ankara Demographic Average)</w:t>
      </w:r>
    </w:p>
    <w:p>
      <w:pPr>
        <w:pStyle w:val="BodyText"/>
      </w:pPr>
      <w:r>
        <w:t xml:space="preserve">Potential Pathology Indicators</w:t>
      </w:r>
    </w:p>
    <w:p>
      <w:pPr>
        <w:pStyle w:val="BodyText"/>
      </w:pPr>
      <w:r>
        <w:t xml:space="preserve">Intraocular Pressure (IOP)</w:t>
      </w:r>
    </w:p>
    <w:p>
      <w:pPr>
        <w:pStyle w:val="BodyText"/>
      </w:pPr>
      <w:r>
        <w:t xml:space="preserve">&lt; 21 mmHg</w:t>
      </w:r>
    </w:p>
    <w:p>
      <w:pPr>
        <w:pStyle w:val="BodyText"/>
      </w:pPr>
      <w:r>
        <w:t xml:space="preserve">Elevated IOP suggests glaucoma risk.</w:t>
      </w:r>
    </w:p>
    <w:p>
      <w:pPr>
        <w:pStyle w:val="BodyText"/>
      </w:pPr>
      <w:r>
        <w:t xml:space="preserve">Vital Acuity (VA)</w:t>
      </w:r>
    </w:p>
    <w:p>
      <w:pPr>
        <w:pStyle w:val="BodyText"/>
      </w:pPr>
      <w:r>
        <w:t xml:space="preserve">20/20 or better</w:t>
      </w:r>
    </w:p>
    <w:p>
      <w:pPr>
        <w:pStyle w:val="BodyText"/>
      </w:pPr>
      <w:r>
        <w:t xml:space="preserve">Fall in VA may indicate refractive error or media opacity.</w:t>
      </w:r>
    </w:p>
    <w:p>
      <w:pPr>
        <w:pStyle w:val="BodyText"/>
      </w:pPr>
      <w:r>
        <w:t xml:space="preserve">Cup-to-Disk Ratio (CDR)</w:t>
      </w:r>
    </w:p>
    <w:p>
      <w:pPr>
        <w:pStyle w:val="BodyText"/>
      </w:pPr>
      <w:r>
        <w:t xml:space="preserve">&lt; 0.5</w:t>
      </w:r>
    </w:p>
    <w:p>
      <w:pPr>
        <w:pStyle w:val="BodyText"/>
      </w:pPr>
      <w:r>
        <w:t xml:space="preserve">A CDR greater than 0.5 warrants further glaucoma investigation by the local ophthalmologist in Turkey Ankara.</w:t>
      </w:r>
    </w:p>
    <w:p>
      <w:pPr>
        <w:pStyle w:val="BodyText"/>
      </w:pPr>
      <w:r>
        <w:t xml:space="preserve">Corneal Thickness</w:t>
      </w:r>
    </w:p>
    <w:p>
      <w:pPr>
        <w:pStyle w:val="BodyText"/>
      </w:pPr>
      <w:r>
        <w:t xml:space="preserve">~540-560 microns</w:t>
      </w:r>
    </w:p>
    <w:p>
      <w:pPr>
        <w:pStyle w:val="BodyText"/>
      </w:pPr>
      <w:r>
        <w:t xml:space="preserve">Pachymetry deviations affect IOP accuracy.</w:t>
      </w:r>
    </w:p>
    <w:p>
      <w:pPr>
        <w:pStyle w:val="BodyText"/>
      </w:pPr>
      <w:r>
        <w:t xml:space="preserve">These metrics are not only diagnostic but also serve as benchmarks for public health studies conducted by medical institutions in</w:t>
      </w:r>
      <w:r>
        <w:t xml:space="preserve"> </w:t>
      </w:r>
      <w:r>
        <w:rPr>
          <w:bCs/>
          <w:b/>
        </w:rPr>
        <w:t xml:space="preserve">Turkey Ankara</w:t>
      </w:r>
      <w:r>
        <w:t xml:space="preserve">. The data collected contributes to a broader understanding of ophthalmic epidemiology in the region, helping healthcare providers tailor their treatment plans effectively.</w:t>
      </w:r>
    </w:p>
    <w:bookmarkEnd w:id="25"/>
    <w:bookmarkStart w:id="26" w:name="X7a1689a99e529f4bf6c72e3b987f8eb185dcf01"/>
    <w:p>
      <w:pPr>
        <w:pStyle w:val="Heading2"/>
      </w:pPr>
      <w:r>
        <w:t xml:space="preserve">IV. Regional Context: Ophthalmologist Services in Turkey Ankara</w:t>
      </w:r>
    </w:p>
    <w:p>
      <w:pPr>
        <w:pStyle w:val="FirstParagraph"/>
      </w:pPr>
      <w:r>
        <w:t xml:space="preserve">The presence of a highly skilled</w:t>
      </w:r>
      <w:r>
        <w:t xml:space="preserve"> </w:t>
      </w:r>
      <w:r>
        <w:t xml:space="preserve">Ophthalmologist</w:t>
      </w:r>
      <w:r>
        <w:t xml:space="preserve"> </w:t>
      </w:r>
      <w:r>
        <w:t xml:space="preserve">is vital for the public health infrastructure of</w:t>
      </w:r>
      <w:r>
        <w:t xml:space="preserve"> </w:t>
      </w:r>
      <w:r>
        <w:rPr>
          <w:bCs/>
          <w:b/>
        </w:rPr>
        <w:t xml:space="preserve">Turkey Ankara</w:t>
      </w:r>
      <w:r>
        <w:t xml:space="preserve">. As the capital, Ankara hosts numerous specialized eye hospitals and research centers that attract patients from surrounding provinces. The medical ecosystem here is characterized by:</w:t>
      </w:r>
      <w:r>
        <w:t xml:space="preserve"> </w:t>
      </w:r>
      <w:r>
        <w:t xml:space="preserve">1. **Advanced Technological Integration**: Clinics in</w:t>
      </w:r>
      <w:r>
        <w:t xml:space="preserve"> </w:t>
      </w:r>
      <w:r>
        <w:rPr>
          <w:bCs/>
          <w:b/>
        </w:rPr>
        <w:t xml:space="preserve">Turkey Ankara</w:t>
      </w:r>
      <w:r>
        <w:t xml:space="preserve"> </w:t>
      </w:r>
      <w:r>
        <w:t xml:space="preserve">are among the first to adopt new laser technologies, such as Femtosecond LASIK and SMILE procedures for vision correction.</w:t>
      </w:r>
      <w:r>
        <w:t xml:space="preserve"> </w:t>
      </w:r>
      <w:r>
        <w:t xml:space="preserve">2. **Specialized Care Units**: Many facilities feature dedicated units for pediatric ophthalmology and neuro-ophthalmology, reflecting the diverse needs of the metropolitan population.</w:t>
      </w:r>
      <w:r>
        <w:t xml:space="preserve"> </w:t>
      </w:r>
      <w:r>
        <w:t xml:space="preserve">3. **Research and Education**: Universities in Ankara conduct extensive research on eye diseases prevalent in Turkey, influencing national treatment guidelines and improving the standard of care provided by local</w:t>
      </w:r>
      <w:r>
        <w:t xml:space="preserve"> </w:t>
      </w:r>
      <w:r>
        <w:t xml:space="preserve">Ophthalmologist</w:t>
      </w:r>
      <w:r>
        <w:t xml:space="preserve"> </w:t>
      </w:r>
      <w:r>
        <w:t xml:space="preserve">practitioners.</w:t>
      </w:r>
      <w:r>
        <w:t xml:space="preserve"> </w:t>
      </w:r>
      <w:r>
        <w:t xml:space="preserve">This robust infrastructure ensures that patients receiving care in</w:t>
      </w:r>
      <w:r>
        <w:t xml:space="preserve"> </w:t>
      </w:r>
      <w:r>
        <w:rPr>
          <w:bCs/>
          <w:b/>
        </w:rPr>
        <w:t xml:space="preserve">Turkey Ankara</w:t>
      </w:r>
      <w:r>
        <w:t xml:space="preserve"> </w:t>
      </w:r>
      <w:r>
        <w:t xml:space="preserve">have access to the same level of expertise found in major European medical centers. The collaboration between academic institutions and private clinics fosters an environment of continuous improvement and innovation in ophthalmic science.</w:t>
      </w:r>
    </w:p>
    <w:bookmarkEnd w:id="26"/>
    <w:bookmarkStart w:id="27" w:name="v.-recommendations-and-conclusion"/>
    <w:p>
      <w:pPr>
        <w:pStyle w:val="Heading2"/>
      </w:pPr>
      <w:r>
        <w:t xml:space="preserve">V. Recommendations and Conclusion</w:t>
      </w:r>
    </w:p>
    <w:p>
      <w:pPr>
        <w:pStyle w:val="FirstParagraph"/>
      </w:pPr>
      <w:r>
        <w:t xml:space="preserve">In conclusion, this lab report underscores the critical role of a competent</w:t>
      </w:r>
      <w:r>
        <w:t xml:space="preserve"> </w:t>
      </w:r>
      <w:r>
        <w:t xml:space="preserve">Ophthalmologist</w:t>
      </w:r>
      <w:r>
        <w:t xml:space="preserve"> </w:t>
      </w:r>
      <w:r>
        <w:t xml:space="preserve">in maintaining ocular health within</w:t>
      </w:r>
      <w:r>
        <w:t xml:space="preserve"> </w:t>
      </w:r>
      <w:r>
        <w:rPr>
          <w:bCs/>
          <w:b/>
        </w:rPr>
        <w:t xml:space="preserve">Turkey Ankara</w:t>
      </w:r>
      <w:r>
        <w:t xml:space="preserve">. The comprehensive diagnostic approach, combining traditional examination techniques with cutting-edge technology, ensures accurate identification and management of eye diseases.</w:t>
      </w:r>
      <w:r>
        <w:t xml:space="preserve"> </w:t>
      </w:r>
      <w:r>
        <w:t xml:space="preserve">For patients residing in or visiting</w:t>
      </w:r>
      <w:r>
        <w:t xml:space="preserve"> </w:t>
      </w:r>
      <w:r>
        <w:rPr>
          <w:bCs/>
          <w:b/>
        </w:rPr>
        <w:t xml:space="preserve">Turkey Ankara</w:t>
      </w:r>
      <w:r>
        <w:t xml:space="preserve">, it is recommended to undergo regular annual eye examinations. Early detection of conditions such as glaucoma and diabetic retinopathy can prevent irreversible vision loss. The medical facilities in this region are well-equipped to handle both routine care and complex surgical interventions, making Ankara a premier destination for ophthalmic treatment in the region.</w:t>
      </w:r>
      <w:r>
        <w:t xml:space="preserve"> </w:t>
      </w:r>
      <w:r>
        <w:t xml:space="preserve">Furthermore, ongoing monitoring of clinical data allows healthcare providers to adapt their strategies based on emerging trends in ocular health. This dynamic approach is essential for sustaining high standards of medical practice. We advise all individuals to consult with a certified</w:t>
      </w:r>
      <w:r>
        <w:t xml:space="preserve"> </w:t>
      </w:r>
      <w:r>
        <w:t xml:space="preserve">Ophthalmologist</w:t>
      </w:r>
      <w:r>
        <w:t xml:space="preserve"> </w:t>
      </w:r>
      <w:r>
        <w:t xml:space="preserve">promptly if they experience symptoms such as blurred vision, floaters, or eye pain. By leveraging the advanced resources available in</w:t>
      </w:r>
      <w:r>
        <w:t xml:space="preserve"> </w:t>
      </w:r>
      <w:r>
        <w:rPr>
          <w:bCs/>
          <w:b/>
        </w:rPr>
        <w:t xml:space="preserve">Turkey Ankara</w:t>
      </w:r>
      <w:r>
        <w:t xml:space="preserve">, patients can achieve optimal visual outcomes and maintain their quality of life.</w:t>
      </w:r>
      <w:r>
        <w:t xml:space="preserve"> </w:t>
      </w:r>
      <w:r>
        <w:t xml:space="preserve">This document affirms that the integration of specialized medical expertise and technological advancement in</w:t>
      </w:r>
      <w:r>
        <w:t xml:space="preserve"> </w:t>
      </w:r>
      <w:r>
        <w:rPr>
          <w:bCs/>
          <w:b/>
        </w:rPr>
        <w:t xml:space="preserve">Turkey Ankara</w:t>
      </w:r>
      <w:r>
        <w:t xml:space="preserve"> </w:t>
      </w:r>
      <w:r>
        <w:t xml:space="preserve">creates a reliable framework for ophthalmic care, ensuring that every patient receives personalized and evidence-based treatment from their local</w:t>
      </w:r>
      <w:r>
        <w:t xml:space="preserve"> </w:t>
      </w:r>
      <w:r>
        <w:t xml:space="preserve">Ophthalmologist</w:t>
      </w:r>
      <w:r>
        <w:t xml:space="preserve">.</w:t>
      </w:r>
    </w:p>
    <w:p>
      <w:pPr>
        <w:pStyle w:val="BodyText"/>
      </w:pPr>
      <w:r>
        <w:rPr>
          <w:bCs/>
          <w:b/>
        </w:rPr>
        <w:t xml:space="preserve">Authorized By:</w:t>
      </w:r>
      <w:r>
        <w:br/>
      </w:r>
      <w:r>
        <w:t xml:space="preserve">Dr. Ahmet Yılmaz</w:t>
      </w:r>
      <w:r>
        <w:br/>
      </w:r>
      <w:r>
        <w:t xml:space="preserve">Chief of Staff, Department of Ophthalmology</w:t>
      </w:r>
      <w:r>
        <w:br/>
      </w:r>
      <w:r>
        <w:t xml:space="preserve">Ankara University Medical Center, Turkey Ankara</w:t>
      </w:r>
    </w:p>
    <w:p>
      <w:pPr>
        <w:pStyle w:val="BodyText"/>
      </w:pPr>
      <w:r>
        <w:rPr>
          <w:iCs/>
          <w:i/>
        </w:rPr>
        <w:t xml:space="preserve">Disclaimer: This lab report is for informational and educational purposes regarding the standards of care in Turkey Ankara. It does not constitute personal medical advice.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Ophthalmologist Assessment in Turkey Ankara</dc:title>
  <dc:creator/>
  <dc:language>en</dc:language>
  <cp:keywords/>
  <dcterms:created xsi:type="dcterms:W3CDTF">2026-07-29T12:42:07Z</dcterms:created>
  <dcterms:modified xsi:type="dcterms:W3CDTF">2026-07-29T12:42:07Z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