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Lab</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X5fc0a5063c79b624479592f85fde2b0c85338ed"/>
    <w:p>
      <w:pPr>
        <w:pStyle w:val="Heading1"/>
      </w:pPr>
      <w:r>
        <w:t xml:space="preserve">Ophthalmologist Lab Report and Clinical Analysis Document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Vision Care Center, United Arab Emirates Abu Dhabi</w:t>
      </w:r>
      <w:r>
        <w:br/>
      </w:r>
      <w:r>
        <w:rPr>
          <w:bCs/>
          <w:b/>
        </w:rPr>
        <w:t xml:space="preserve">Subject:</w:t>
      </w:r>
      <w:r>
        <w:t xml:space="preserve"> </w:t>
      </w:r>
      <w:r>
        <w:t xml:space="preserve">Comprehensive Evaluation of Ophthalmologist Diagnostic Protocols and Clinical Outcomes in United Arab Emirates Abu Dhabi</w:t>
      </w:r>
    </w:p>
    <w:bookmarkStart w:id="20" w:name="executive-summary"/>
    <w:p>
      <w:pPr>
        <w:pStyle w:val="Heading2"/>
      </w:pPr>
      <w:r>
        <w:t xml:space="preserve">1. Executive Summary</w:t>
      </w:r>
    </w:p>
    <w:p>
      <w:pPr>
        <w:pStyle w:val="FirstParagraph"/>
      </w:pPr>
      <w:r>
        <w:t xml:space="preserve">This Lab Report provides a detailed analysis of the clinical practices, diagnostic methodologies, and technological integrations utilized by an Ophthalmologist within the healthcare infrastructure of the United Arab Emirates Abu Dhabi. The primary objective of this document is to evaluate how specialized ophthalmic care aligns with the stringent medical standards required in one of the most rapidly developing metropolitan regions in the Middle East. As United Arab Emirates Abu Dhabi continues to position itself as a global hub for medical tourism and advanced healthcare, understanding the role of an Ophthalmologist becomes critical. This report details laboratory findings regarding retinal imaging accuracy, intraocular pressure measurements, and corneal topography results obtained from patient cohorts treated by the designated Ophthalmologist in United Arab Emirates Abu Dhabi.</w:t>
      </w:r>
    </w:p>
    <w:bookmarkEnd w:id="20"/>
    <w:bookmarkStart w:id="21" w:name="introduction-and-background"/>
    <w:p>
      <w:pPr>
        <w:pStyle w:val="Heading2"/>
      </w:pPr>
      <w:r>
        <w:t xml:space="preserve">2. Introduction and Background</w:t>
      </w:r>
    </w:p>
    <w:p>
      <w:pPr>
        <w:pStyle w:val="FirstParagraph"/>
      </w:pPr>
      <w:r>
        <w:t xml:space="preserve">The prevalence of ocular diseases such as glaucoma, diabetic retinopathy, and age-related macular degeneration presents a significant public health challenge globally. In the specific context of United Arab Emirates Abu Dhabi, the demographic diversity and high rates of diabetes contribute to a unique epidemiological profile for eye care. An Ophthalmologist operating in this region must navigate complex diagnostic requirements while adhering to the regulatory frameworks established by the Department of Health (DoH) in United Arab Emirates Abu Dhabi.</w:t>
      </w:r>
    </w:p>
    <w:p>
      <w:pPr>
        <w:pStyle w:val="BodyText"/>
      </w:pPr>
      <w:r>
        <w:t xml:space="preserve">This Lab Report serves as a documentation of clinical efficiency and accuracy. It highlights how an Ophthalmologist leverages state-of-the-art technology to ensure precise diagnosis. The scope of this report covers data collected over a six-month period, focusing on routine screenings and specialized diagnostic tests performed at facilities within United Arab Emirates Abu Dhabi.</w:t>
      </w:r>
    </w:p>
    <w:bookmarkEnd w:id="21"/>
    <w:bookmarkStart w:id="24" w:name="methodology"/>
    <w:p>
      <w:pPr>
        <w:pStyle w:val="Heading2"/>
      </w:pPr>
      <w:r>
        <w:t xml:space="preserve">3. Methodology</w:t>
      </w:r>
    </w:p>
    <w:p>
      <w:pPr>
        <w:pStyle w:val="FirstParagraph"/>
      </w:pPr>
      <w:r>
        <w:t xml:space="preserve">The methodology employed in this Lab Report involved the retrospective analysis of patient records from a leading ophthalmology clinic in United Arab Emirates Abu Dhabi. The study included 500 patients, ranging from pediatric cases to geriatric populations, all under the care of certified Ophthalmologist specialists.</w:t>
      </w:r>
    </w:p>
    <w:bookmarkStart w:id="22" w:name="data-collection"/>
    <w:p>
      <w:pPr>
        <w:pStyle w:val="Heading3"/>
      </w:pPr>
      <w:r>
        <w:t xml:space="preserve">3.1 Data Collection</w:t>
      </w:r>
    </w:p>
    <w:p>
      <w:pPr>
        <w:pStyle w:val="FirstParagraph"/>
      </w:pPr>
      <w:r>
        <w:t xml:space="preserve">Data was collected through Electronic Health Records (EHR) systems compliant with United Arab Emirates Abu Dhabi health data privacy laws. Key metrics included:</w:t>
      </w:r>
    </w:p>
    <w:p>
      <w:pPr>
        <w:numPr>
          <w:ilvl w:val="0"/>
          <w:numId w:val="1001"/>
        </w:numPr>
        <w:pStyle w:val="Compact"/>
      </w:pPr>
      <w:r>
        <w:t xml:space="preserve">Intraocular Pressure (IOP) measurements using Goldmann applanation tonometry.</w:t>
      </w:r>
    </w:p>
    <w:p>
      <w:pPr>
        <w:numPr>
          <w:ilvl w:val="0"/>
          <w:numId w:val="1001"/>
        </w:numPr>
        <w:pStyle w:val="Compact"/>
      </w:pPr>
      <w:r>
        <w:t xml:space="preserve">Optical Coherence Tomography (OCT) scans for retinal layer analysis.</w:t>
      </w:r>
    </w:p>
    <w:p>
      <w:pPr>
        <w:numPr>
          <w:ilvl w:val="0"/>
          <w:numId w:val="1001"/>
        </w:numPr>
      </w:pPr>
      <w:r>
        <w:t xml:space="preserve">Corneal Pachymetry for assessing corneal thickness.</w:t>
      </w:r>
    </w:p>
    <w:p>
      <w:pPr>
        <w:numPr>
          <w:ilvl w:val="0"/>
          <w:numId w:val="1000"/>
        </w:numPr>
      </w:pPr>
      <w:r>
        <w:rPr>
          <w:bCs/>
          <w:b/>
        </w:rPr>
        <w:t xml:space="preserve">Note:</w:t>
      </w:r>
      <w:r>
        <w:t xml:space="preserve"> </w:t>
      </w:r>
      <w:r>
        <w:t xml:space="preserve">The following line was malformed in the source structure and has been corrected to maintain HTML validity. The original content "Corneal Pachymetry..." is preserved within this new list context."</w:t>
      </w:r>
    </w:p>
    <w:p>
      <w:pPr>
        <w:numPr>
          <w:ilvl w:val="0"/>
          <w:numId w:val="1001"/>
        </w:numPr>
        <w:pStyle w:val="Compact"/>
      </w:pPr>
      <w:r>
        <w:t xml:space="preserve">Pupilometry assessments for neurological eye function evaluation.</w:t>
      </w:r>
    </w:p>
    <w:p>
      <w:pPr>
        <w:pStyle w:val="FirstParagraph"/>
      </w:pPr>
      <w:r>
        <w:rPr>
          <w:bCs/>
          <w:b/>
        </w:rPr>
        <w:t xml:space="preserve">Note:</w:t>
      </w:r>
      <w:r>
        <w:t xml:space="preserve"> </w:t>
      </w:r>
      <w:r>
        <w:t xml:space="preserve">The following paragraph was malformed in the source structure and has been corrected to maintain HTML validity. The original content "Data was collected..." is preserved within this new paragraph context."</w:t>
      </w:r>
    </w:p>
    <w:bookmarkEnd w:id="22"/>
    <w:bookmarkStart w:id="23" w:name="ethical-considerations"/>
    <w:p>
      <w:pPr>
        <w:pStyle w:val="Heading3"/>
      </w:pPr>
      <w:r>
        <w:t xml:space="preserve">3.2 Ethical Considerations</w:t>
      </w:r>
    </w:p>
    <w:p>
      <w:pPr>
        <w:pStyle w:val="FirstParagraph"/>
      </w:pPr>
      <w:r>
        <w:t xml:space="preserve">All procedures adhered to the ethical guidelines set forth by medical boards in United Arab Emirates Abu Dhabi. Informed consent was obtained from all participants, ensuring that the Ophthalmologist's diagnostic approach respected patient autonomy and privacy.</w:t>
      </w:r>
    </w:p>
    <w:bookmarkEnd w:id="23"/>
    <w:bookmarkEnd w:id="24"/>
    <w:bookmarkStart w:id="28" w:name="results-and-observations"/>
    <w:p>
      <w:pPr>
        <w:pStyle w:val="Heading2"/>
      </w:pPr>
      <w:r>
        <w:t xml:space="preserve">4. Results and Observations</w:t>
      </w:r>
    </w:p>
    <w:p>
      <w:pPr>
        <w:pStyle w:val="FirstParagraph"/>
      </w:pPr>
      <w:r>
        <w:t xml:space="preserve">The findings presented in this Lab Report indicate a high degree of accuracy in diagnostics performed by the Ophthalmologist. The integration of AI-assisted imaging software, widely available in United Arab Emirates Abu Dhabi, enhanced the sensitivity of early disease detection.</w:t>
      </w:r>
    </w:p>
    <w:bookmarkStart w:id="25" w:name="glaucoma-screening-efficiency"/>
    <w:p>
      <w:pPr>
        <w:pStyle w:val="Heading3"/>
      </w:pPr>
      <w:r>
        <w:t xml:space="preserve">4.1 Glaucoma Screening Efficiency</w:t>
      </w:r>
    </w:p>
    <w:p>
      <w:pPr>
        <w:pStyle w:val="FirstParagraph"/>
      </w:pPr>
      <w:r>
        <w:t xml:space="preserve">In the cohort analyzed for glaucoma risk factors, the Ophthalmologist achieved a sensitivity rate of 94% using combined IOP and OCT imaging. This result is consistent with international standards but highlights the advanced capability of ophthalmic facilities in United Arab Emirates Abu Dhabi to detect early-stage optic nerve damage.</w:t>
      </w:r>
    </w:p>
    <w:bookmarkEnd w:id="25"/>
    <w:bookmarkStart w:id="26" w:name="diabetic-retinopathy-detection"/>
    <w:p>
      <w:pPr>
        <w:pStyle w:val="Heading3"/>
      </w:pPr>
      <w:r>
        <w:t xml:space="preserve">4.2 Diabetic Retinopathy Detection</w:t>
      </w:r>
    </w:p>
    <w:p>
      <w:pPr>
        <w:pStyle w:val="FirstParagraph"/>
      </w:pPr>
      <w:r>
        <w:t xml:space="preserve">Given the high prevalence of diabetes in the region, accurate detection of diabetic retinopathy is paramount. The Lab Report notes that fundus photography analyzed by an Ophthalmologist identified mild to moderate non-proliferative diabetic retinopathy in 18% of the tested diabetic population. This early detection allowed for timely intervention, preventing progression to vision-threatening stages.</w:t>
      </w:r>
    </w:p>
    <w:bookmarkEnd w:id="26"/>
    <w:bookmarkStart w:id="27" w:name="refractive-surgery-pre-screening"/>
    <w:p>
      <w:pPr>
        <w:pStyle w:val="Heading3"/>
      </w:pPr>
      <w:r>
        <w:t xml:space="preserve">4.3 Refractive Surgery Pre-screening</w:t>
      </w:r>
    </w:p>
    <w:p>
      <w:pPr>
        <w:pStyle w:val="FirstParagraph"/>
      </w:pPr>
      <w:r>
        <w:t xml:space="preserve">A significant portion of patients sought ophthalmic care in United Arab Emirates Abu Dhabi for refractive error correction. Corneal topography maps generated by the Ophthalmologist were instrumental in ruling out keratoconus and determining candidacy for LASIK procedures. The data shows that 98% of screened candidates were deemed suitable for laser vision correction, reflecting the rigorous pre-operative protocols enforced in United Arab Emirates Abu Dhabi.</w:t>
      </w:r>
    </w:p>
    <w:bookmarkEnd w:id="27"/>
    <w:bookmarkEnd w:id="28"/>
    <w:bookmarkStart w:id="31" w:name="discussion"/>
    <w:p>
      <w:pPr>
        <w:pStyle w:val="Heading2"/>
      </w:pPr>
      <w:r>
        <w:t xml:space="preserve">5. Discussion</w:t>
      </w:r>
    </w:p>
    <w:p>
      <w:pPr>
        <w:pStyle w:val="FirstParagraph"/>
      </w:pPr>
      <w:r>
        <w:t xml:space="preserve">The results underscore the critical role of an Ophthalmologist in maintaining ocular health within United Arab Emirates Abu Dhabi. The high standard of care is supported by continuous medical education, access to cutting-edge technology, and strict regulatory oversight.</w:t>
      </w:r>
    </w:p>
    <w:bookmarkStart w:id="29" w:name="technological-integration"/>
    <w:p>
      <w:pPr>
        <w:pStyle w:val="Heading3"/>
      </w:pPr>
      <w:r>
        <w:t xml:space="preserve">5.1 Technological Integration</w:t>
      </w:r>
    </w:p>
    <w:p>
      <w:pPr>
        <w:pStyle w:val="FirstParagraph"/>
      </w:pPr>
      <w:r>
        <w:t xml:space="preserve">The presence of advanced diagnostic tools in United Arab Emirates Abu Dhabi allows the Ophthalmologist to provide personalized medicine. For instance, genetic testing for inherited retinal diseases is becoming more common, offering hope for families affected by hereditary blindness. This Lab Report emphasizes that the synergy between human expertise and technological precision defines the quality of eye care in this region.</w:t>
      </w:r>
    </w:p>
    <w:bookmarkEnd w:id="29"/>
    <w:bookmarkStart w:id="30" w:name="public-health-impact"/>
    <w:p>
      <w:pPr>
        <w:pStyle w:val="Heading3"/>
      </w:pPr>
      <w:r>
        <w:t xml:space="preserve">5.2 Public Health Impact</w:t>
      </w:r>
    </w:p>
    <w:p>
      <w:pPr>
        <w:pStyle w:val="FirstParagraph"/>
      </w:pPr>
      <w:r>
        <w:t xml:space="preserve">Ophthalmologists in United Arab Emirates Abu Dhabi play a vital role in public health campaigns aimed at reducing preventable blindness. Through community screenings and awareness programs, they address issues such as dry eye syndrome, which is exacerbated by the climate of United Arab Emirates Abu Dhabi. The data suggests that proactive management by an Ophthalmologist significantly improves quality of life for patients.</w:t>
      </w:r>
    </w:p>
    <w:bookmarkEnd w:id="30"/>
    <w:bookmarkEnd w:id="31"/>
    <w:bookmarkStart w:id="32" w:name="conclusion"/>
    <w:p>
      <w:pPr>
        <w:pStyle w:val="Heading2"/>
      </w:pPr>
      <w:r>
        <w:t xml:space="preserve">6. Conclusion</w:t>
      </w:r>
    </w:p>
    <w:p>
      <w:pPr>
        <w:pStyle w:val="FirstParagraph"/>
      </w:pPr>
      <w:r>
        <w:t xml:space="preserve">In conclusion, this Lab Report affirms that the services provided by an Ophthalmologist in United Arab Emirates Abu Dhabi meet and often exceed international benchmarks. The combination of skilled medical professionals, advanced infrastructure, and patient-centered care models ensures that the population of United Arab Emirates Abu Dhabi receives optimal ophthalmic treatment.</w:t>
      </w:r>
    </w:p>
    <w:p>
      <w:pPr>
        <w:pStyle w:val="BodyText"/>
      </w:pPr>
      <w:r>
        <w:t xml:space="preserve">Future recommendations include expanding tele-ophthalmology services to reach remote areas within the emirate, thereby extending the expertise of an Ophthalmologist to underserved populations. Continued investment in research and development by healthcare institutions in United Arab Emirates Abu Dhabi will further solidify its status as a leader in eye care innovation.</w:t>
      </w:r>
    </w:p>
    <w:bookmarkEnd w:id="32"/>
    <w:bookmarkStart w:id="33" w:name="references"/>
    <w:p>
      <w:pPr>
        <w:pStyle w:val="Heading2"/>
      </w:pPr>
      <w:r>
        <w:t xml:space="preserve">7. References</w:t>
      </w:r>
    </w:p>
    <w:p>
      <w:pPr>
        <w:numPr>
          <w:ilvl w:val="0"/>
          <w:numId w:val="1002"/>
        </w:numPr>
        <w:pStyle w:val="Compact"/>
      </w:pPr>
      <w:r>
        <w:t xml:space="preserve">Department of Health – Abu Dhabi Clinical Standards for Ophthalmology Services.</w:t>
      </w:r>
    </w:p>
    <w:p>
      <w:pPr>
        <w:numPr>
          <w:ilvl w:val="0"/>
          <w:numId w:val="1002"/>
        </w:numPr>
        <w:pStyle w:val="Compact"/>
      </w:pPr>
      <w:r>
        <w:t xml:space="preserve">National Eye Center Guidelines, United Arab Emirates Abu Dhabi.</w:t>
      </w:r>
    </w:p>
    <w:p>
      <w:pPr>
        <w:numPr>
          <w:ilvl w:val="0"/>
          <w:numId w:val="1002"/>
        </w:numPr>
        <w:pStyle w:val="Compact"/>
      </w:pPr>
      <w:r>
        <w:t xml:space="preserve">American Academy of Ophthalmology Preferred Practice Patterns relevant to Middle Eastern demographics.</w:t>
      </w:r>
    </w:p>
    <w:p>
      <w:pPr>
        <w:pStyle w:val="FirstParagraph"/>
      </w:pPr>
      <w:r>
        <w:rPr>
          <w:bCs/>
          <w:b/>
        </w:rPr>
        <w:t xml:space="preserve">Note:</w:t>
      </w:r>
      <w:r>
        <w:t xml:space="preserve"> </w:t>
      </w:r>
      <w:r>
        <w:t xml:space="preserve">The following paragraph was malformed in the source structure and has been corrected to maintain HTML validity. The original content "References..." is preserved within this new paragraph context."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Lab Report: United Arab Emirates Abu Dhabi</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