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Report:</w:t>
      </w:r>
      <w:r>
        <w:t xml:space="preserve"> </w:t>
      </w:r>
      <w:r>
        <w:t xml:space="preserve">Ophthalmic</w:t>
      </w:r>
      <w:r>
        <w:t xml:space="preserve"> </w:t>
      </w:r>
      <w:r>
        <w:t xml:space="preserve">Assessment</w:t>
      </w:r>
      <w:r>
        <w:t xml:space="preserve"> </w:t>
      </w:r>
      <w:r>
        <w:t xml:space="preserve">Standards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e651b1d80ddc823b800e00d773e03874871f33d"/>
    <w:p>
      <w:pPr>
        <w:pStyle w:val="Heading1"/>
      </w:pPr>
      <w:r>
        <w:t xml:space="preserve">Laboratory Diagnostic Report: Ophthalmic Assessment Standards in United Kingdom Birmingham</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Birmingham Eye Centre Research Unit, United Kingdom Birmingham</w:t>
      </w:r>
    </w:p>
    <w:p>
      <w:pPr>
        <w:pStyle w:val="BodyText"/>
      </w:pPr>
      <w:r>
        <w:rPr>
          <w:bCs/>
          <w:b/>
        </w:rPr>
        <w:t xml:space="preserve">Patient Reference:</w:t>
      </w:r>
    </w:p>
    <w:p>
      <w:pPr>
        <w:pStyle w:val="BodyText"/>
      </w:pPr>
      <w:r>
        <w:t xml:space="preserve">BIRM-OPH-2023-X89</w:t>
      </w:r>
    </w:p>
    <w:bookmarkEnd w:id="20"/>
    <w:bookmarkStart w:id="21" w:name="introduction-and-contextual-framework"/>
    <w:p>
      <w:pPr>
        <w:pStyle w:val="Heading2"/>
      </w:pPr>
      <w:r>
        <w:t xml:space="preserve">1. Introduction and Contextual Framework</w:t>
      </w:r>
    </w:p>
    <w:p>
      <w:pPr>
        <w:pStyle w:val="FirstParagraph"/>
      </w:pPr>
      <w:r>
        <w:t xml:space="preserve">This laboratory report serves as a comprehensive documentation of clinical diagnostic procedures, data analysis, and observational outcomes conducted within the specialized ophthalmological sector of United Kingdom Birmingham. As the city of Birmingham represents one of the most densely populated urban centres in Great Britain, its healthcare infrastructure must adhere to rigorous standards set by both local authorities and national bodies such as the National Health Service (NHS). The primary objective of this document is to outline the diagnostic protocols employed for patients presenting with complex visual impairments, ensuring that every step aligns with the ethical and medical guidelines governing ophthalmic practice in United Kingdom Birmingham.</w:t>
      </w:r>
    </w:p>
    <w:p>
      <w:pPr>
        <w:pStyle w:val="BodyText"/>
      </w:pPr>
      <w:r>
        <w:t xml:space="preserve">The significance of this report lies in its role as a testament to the precision required in modern ophthalmology. By maintaining detailed records and adhering to strict laboratory standards, we ensure that the health outcomes for patients in United Kingdom Birmingham are not only monitored but optimized through evidence-based medicine. The following sections detail the methodology, results, and implications of our recent diagnostic sessions.</w:t>
      </w:r>
    </w:p>
    <w:bookmarkEnd w:id="21"/>
    <w:bookmarkStart w:id="24" w:name="methodology"/>
    <w:p>
      <w:pPr>
        <w:pStyle w:val="Heading2"/>
      </w:pPr>
      <w:r>
        <w:t xml:space="preserve">2. Methodology</w:t>
      </w:r>
    </w:p>
    <w:p>
      <w:pPr>
        <w:pStyle w:val="FirstParagraph"/>
      </w:pPr>
      <w:r>
        <w:t xml:space="preserve">The clinical trials and routine assessments described herein were conducted in accordance with the Declaration of Helsinki and local regulations specific to United Kingdom Birmingham. The methodology involved a multi-modal diagnostic approach, ensuring that no single metric was relied upon for final diagnosis. This holistic approach is critical in an urban setting like United Kingdom Birmingham, where patient demographics are highly diverse.</w:t>
      </w:r>
    </w:p>
    <w:bookmarkStart w:id="22" w:name="participant-selection"/>
    <w:p>
      <w:pPr>
        <w:pStyle w:val="Heading3"/>
      </w:pPr>
      <w:r>
        <w:t xml:space="preserve">2.1 Participant Selection</w:t>
      </w:r>
    </w:p>
    <w:p>
      <w:pPr>
        <w:pStyle w:val="FirstParagraph"/>
      </w:pPr>
      <w:r>
        <w:t xml:space="preserve">A total of 150 participants were recruited from local clinics across United Kingdom Birmingham. Participants ranged in age from 40 to 85 years, representing a cross-section of the city’s population. Inclusion criteria required a baseline visual acuity assessment and informed consent. Exclusion criteria included prior retinal surgery or active uveitis.</w:t>
      </w:r>
    </w:p>
    <w:bookmarkEnd w:id="22"/>
    <w:bookmarkStart w:id="23" w:name="diagnostic-instruments"/>
    <w:p>
      <w:pPr>
        <w:pStyle w:val="Heading3"/>
      </w:pPr>
      <w:r>
        <w:t xml:space="preserve">2.2 Diagnostic Instruments</w:t>
      </w:r>
    </w:p>
    <w:p>
      <w:pPr>
        <w:pStyle w:val="FirstParagraph"/>
      </w:pPr>
      <w:r>
        <w:t xml:space="preserve">To ensure accuracy, we utilized state-of-the-art equipment calibrated to European standards. Key instruments included:</w:t>
      </w:r>
    </w:p>
    <w:p>
      <w:pPr>
        <w:pStyle w:val="BodyText"/>
      </w:pPr>
      <w:r>
        <w:rPr>
          <w:bCs/>
          <w:b/>
        </w:rPr>
        <w:t xml:space="preserve">Spectral-Domain Optical Coherence Tomography (SD-OCT):</w:t>
      </w:r>
      <w:r>
        <w:t xml:space="preserve"> </w:t>
      </w:r>
      <w:r>
        <w:t xml:space="preserve">Used for high-resolution cross-sectional imaging of the retina.</w:t>
      </w:r>
    </w:p>
    <w:p>
      <w:pPr>
        <w:pStyle w:val="BodyText"/>
      </w:pPr>
      <w:r>
        <w:rPr>
          <w:bCs/>
          <w:b/>
        </w:rPr>
        <w:t xml:space="preserve">Visionix VM100 Auto-Refractor/Keratometer:</w:t>
      </w:r>
    </w:p>
    <w:p>
      <w:pPr>
        <w:pStyle w:val="BodyText"/>
      </w:pPr>
      <w:r>
        <w:t xml:space="preserve">BIRM-OPH-2023-X89</w:t>
      </w:r>
    </w:p>
    <w:bookmarkEnd w:id="23"/>
    <w:bookmarkEnd w:id="24"/>
    <w:bookmarkStart w:id="25" w:name="results-and-data-analysis"/>
    <w:p>
      <w:pPr>
        <w:pStyle w:val="Heading2"/>
      </w:pPr>
      <w:r>
        <w:t xml:space="preserve">3. Results and Data Analysis</w:t>
      </w:r>
    </w:p>
    <w:p>
      <w:pPr>
        <w:pStyle w:val="FirstParagraph"/>
      </w:pPr>
      <w:r>
        <w:t xml:space="preserve">The data collected from the ophthalmic assessments in United Kingdom Birmingham yielded significant insights into the prevalence of age-related macular degeneration (AMD) and diabetic retinopathy among the local population.</w:t>
      </w:r>
    </w:p>
    <w:p>
      <w:pPr>
        <w:pStyle w:val="BodyText"/>
      </w:pPr>
      <w:r>
        <w:t xml:space="preserve">Metric</w:t>
      </w:r>
    </w:p>
    <w:bookmarkEnd w:id="25"/>
    <w:p>
      <w:pPr>
        <w:pStyle w:val="BodyText"/>
      </w:pPr>
      <w:r>
        <w:t xml:space="preserve">Average Value</w:t>
      </w:r>
    </w:p>
    <w:p>
      <w:pPr>
        <w:pStyle w:val="BodyText"/>
      </w:pPr>
      <w:r>
        <w:t xml:space="preserve">Clinical Significance</w:t>
      </w:r>
    </w:p>
    <w:p>
      <w:pPr>
        <w:pStyle w:val="BodyText"/>
      </w:pPr>
      <w:r>
        <w:t xml:space="preserve">BIRM-OPH-2023-X89</w:t>
      </w:r>
    </w:p>
    <w:p>
      <w:pPr>
        <w:pStyle w:val="BodyText"/>
      </w:pPr>
      <w:r>
        <w:t xml:space="preserve">The findings indicate a correlation between socioeconomic factors in United Kingdom Birmingham and the progression of diabetic retinopathy. Patients residing in areas with higher deprivation indices showed a 15% faster progression rate compared to those in more affluent neighborhoods. This data underscores the need for targeted screening programs specific to different districts within United Kingdom Birmingham.</w:t>
      </w:r>
    </w:p>
    <w:bookmarkStart w:id="26" w:name="discussion"/>
    <w:p>
      <w:pPr>
        <w:pStyle w:val="Heading2"/>
      </w:pPr>
      <w:r>
        <w:t xml:space="preserve">4. Discussion</w:t>
      </w:r>
    </w:p>
    <w:p>
      <w:pPr>
        <w:pStyle w:val="FirstParagraph"/>
      </w:pPr>
      <w:r>
        <w:t xml:space="preserve">The results presented in this lab report highlight the critical importance of localized healthcare strategies. The ophthalmological data gathered in United Kingdom Birmingham reveals that while technological advancements have improved diagnostic accuracy, access to timely care remains a variable influenced by geographical and socioeconomic factors.</w:t>
      </w:r>
    </w:p>
    <w:p>
      <w:pPr>
        <w:pStyle w:val="BodyText"/>
      </w:pPr>
      <w:r>
        <w:t xml:space="preserve">Furthermore, the integration of digital health records specific to United Kingdom Birmingham has allowed for more longitudinal tracking of patient outcomes. This continuity of care is essential for managing chronic conditions such as glaucoma and AMD. The report also discusses the psychological impact of visual impairment on patients in United Kingdom Birmingham, noting that early detection through rigorous lab-based testing significantly improves quality-of-life metrics.</w:t>
      </w:r>
    </w:p>
    <w:p>
      <w:pPr>
        <w:pStyle w:val="BodyText"/>
      </w:pPr>
      <w:r>
        <w:t xml:space="preserve">It is imperative to note that the term 'United Kingdom Birmingham' is not merely a geographical label but represents a unique healthcare ecosystem. The collaborative efforts between local ophthalmologists, laboratory technicians, and public health officials have created a model of care that can be replicated in other major cities. However, the specific demographic challenges of United Kingdom Birmingham require continuous adaptation of these protocols.</w:t>
      </w:r>
    </w:p>
    <w:bookmarkEnd w:id="26"/>
    <w:bookmarkStart w:id="27" w:name="conclusion"/>
    <w:p>
      <w:pPr>
        <w:pStyle w:val="Heading2"/>
      </w:pPr>
      <w:r>
        <w:t xml:space="preserve">5. Conclusion</w:t>
      </w:r>
    </w:p>
    <w:p>
      <w:pPr>
        <w:pStyle w:val="FirstParagraph"/>
      </w:pPr>
      <w:r>
        <w:t xml:space="preserve">In conclusion, this laboratory report affirms that rigorous ophthalmic diagnostics are vital for maintaining public health in United Kingdom Birmingham. The data collected demonstrates that early and accurate diagnosis, supported by advanced laboratory technologies, can mitigate the progression of blinding diseases. As we look to the future, it is recommended that healthcare providers in United Kingdom Birmingham continue to invest in both technological infrastructure and community outreach programs.</w:t>
      </w:r>
    </w:p>
    <w:p>
      <w:pPr>
        <w:pStyle w:val="BodyText"/>
      </w:pPr>
      <w:r>
        <w:t xml:space="preserve">The sustained commitment to excellence in ophthalmology within United Kingdom Birmingham will ensure that patients receive not only world-class clinical care but also compassionate, equitable health services. This report stands as a foundational document for future research and policy development in the region.</w:t>
      </w:r>
    </w:p>
    <w:bookmarkEnd w:id="27"/>
    <w:bookmarkStart w:id="28" w:name="references-and-compliance"/>
    <w:p>
      <w:pPr>
        <w:pStyle w:val="Heading2"/>
      </w:pPr>
      <w:r>
        <w:t xml:space="preserve">6. References and Compliance</w:t>
      </w:r>
    </w:p>
    <w:p>
      <w:pPr>
        <w:pStyle w:val="FirstParagraph"/>
      </w:pPr>
      <w:r>
        <w:t xml:space="preserve">All procedures described in this lab report comply with the General Medical Council (GMC) guidelines for ophthalmologists operating within United Kingdom Birmingham. Data privacy is protected under the UK GDPR, ensuring that all patient information remains confidential.</w:t>
      </w:r>
    </w:p>
    <w:bookmarkEnd w:id="28"/>
    <w:p>
      <w:pPr>
        <w:pStyle w:val="BodyText"/>
      </w:pPr>
      <w:r>
        <w:rPr>
          <w:bCs/>
          <w:b/>
        </w:rPr>
        <w:t xml:space="preserve">Authorized Signature:</w:t>
      </w:r>
    </w:p>
    <w:p>
      <w:pPr>
        <w:pStyle w:val="BodyText"/>
      </w:pPr>
      <w:r>
        <w:t xml:space="preserve">[Name Redacted]</w:t>
      </w:r>
    </w:p>
    <w:p>
      <w:pPr>
        <w:pStyle w:val="BodyText"/>
      </w:pPr>
      <w:r>
        <w:rPr>
          <w:bCs/>
          <w:b/>
        </w:rPr>
        <w:t xml:space="preserve">Title:</w:t>
      </w:r>
    </w:p>
    <w:p>
      <w:pPr>
        <w:pStyle w:val="BodyText"/>
      </w:pPr>
      <w:r>
        <w:t xml:space="preserve">BIRM-OPH-2023-X89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Report: Ophthalmic Assessment Standards in United Kingdom Birmingham</dc:title>
  <dc:creator/>
  <cp:keywords/>
  <dcterms:created xsi:type="dcterms:W3CDTF">2026-07-29T22:31:52Z</dcterms:created>
  <dcterms:modified xsi:type="dcterms:W3CDTF">2026-07-29T22:31:52Z</dcterms:modified>
</cp:coreProperties>
</file>

<file path=docProps/custom.xml><?xml version="1.0" encoding="utf-8"?>
<Properties xmlns="http://schemas.openxmlformats.org/officeDocument/2006/custom-properties" xmlns:vt="http://schemas.openxmlformats.org/officeDocument/2006/docPropsVTypes"/>
</file>