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Lab</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d081cdfe8d209ce72738afdd5acb4d945e5abbb"/>
    <w:p>
      <w:pPr>
        <w:pStyle w:val="Heading1"/>
      </w:pPr>
      <w:r>
        <w:t xml:space="preserve">Clinical Lab Report: Ophthalmologist Services in United Kingdom London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Kingdom London</w:t>
      </w:r>
      <w:r>
        <w:br/>
      </w:r>
      <w:r>
        <w:rPr>
          <w:bCs/>
          <w:b/>
        </w:rPr>
        <w:t xml:space="preserve">Status:</w:t>
      </w:r>
      <w:r>
        <w:t xml:space="preserve"> </w:t>
      </w:r>
      <w:r>
        <w:t xml:space="preserve">Comprehensive Assessment &amp; Operational Guidelines</w:t>
      </w:r>
    </w:p>
    <w:bookmarkStart w:id="20" w:name="X5074b9c377a82fc3c85b38e8ab9919ca5b4bee2"/>
    <w:p>
      <w:pPr>
        <w:pStyle w:val="Heading2"/>
      </w:pPr>
      <w:r>
        <w:t xml:space="preserve">1. Executive Summary and Contextual Overview</w:t>
      </w:r>
    </w:p>
    <w:p>
      <w:pPr>
        <w:pStyle w:val="FirstParagraph"/>
      </w:pPr>
      <w:r>
        <w:t xml:space="preserve">This</w:t>
      </w:r>
      <w:r>
        <w:t xml:space="preserve"> </w:t>
      </w:r>
      <w:r>
        <w:rPr>
          <w:iCs/>
          <w:i/>
        </w:rPr>
        <w:t xml:space="preserve">Ophthalmologist</w:t>
      </w:r>
      <w:r>
        <w:t xml:space="preserve">-focused lab report serves as a definitive operational document designed specifically for the complex healthcare ecosystem of the</w:t>
      </w:r>
      <w:r>
        <w:t xml:space="preserve"> </w:t>
      </w:r>
      <w:r>
        <w:rPr>
          <w:bCs/>
          <w:b/>
        </w:rPr>
        <w:t xml:space="preserve">United Kingdom London</w:t>
      </w:r>
      <w:r>
        <w:t xml:space="preserve">. The primary objective is to outline the rigorous standards, diagnostic methodologies, and regulatory compliance measures required for ophthalmic care within this specific geographic and political boundary. By integrating clinical protocols with local NHS (National Health Service) frameworks, this document ensures that practitioners delivering ophthalmologist services in</w:t>
      </w:r>
      <w:r>
        <w:t xml:space="preserve"> </w:t>
      </w:r>
      <w:r>
        <w:rPr>
          <w:bCs/>
          <w:b/>
        </w:rPr>
        <w:t xml:space="preserve">United Kingdom London</w:t>
      </w:r>
      <w:r>
        <w:t xml:space="preserve"> </w:t>
      </w:r>
      <w:r>
        <w:t xml:space="preserve">adhere to both international medical excellence and domestic statutory obligations. The report analyzes the unique epidemiological factors present in a densely populated metropolis like London, emphasizing the need for specialized diagnostic lab reports to facilitate accurate patient triage and treatment planning.</w:t>
      </w:r>
    </w:p>
    <w:bookmarkEnd w:id="20"/>
    <w:bookmarkStart w:id="21" w:name="X530847c569735d832079192797a95d34b102c67"/>
    <w:p>
      <w:pPr>
        <w:pStyle w:val="Heading2"/>
      </w:pPr>
      <w:r>
        <w:t xml:space="preserve">2. Regulatory Framework in United Kingdom London</w:t>
      </w:r>
    </w:p>
    <w:p>
      <w:pPr>
        <w:pStyle w:val="FirstParagraph"/>
      </w:pPr>
      <w:r>
        <w:t xml:space="preserve">The practice of an</w:t>
      </w:r>
      <w:r>
        <w:t xml:space="preserve"> </w:t>
      </w:r>
      <w:r>
        <w:rPr>
          <w:iCs/>
          <w:i/>
        </w:rPr>
        <w:t xml:space="preserve">Ophthalmologist</w:t>
      </w:r>
      <w:r>
        <w:t xml:space="preserve"> </w:t>
      </w:r>
      <w:r>
        <w:t xml:space="preserve">in</w:t>
      </w:r>
      <w:r>
        <w:t xml:space="preserve"> </w:t>
      </w:r>
      <w:r>
        <w:rPr>
          <w:bCs/>
          <w:b/>
        </w:rPr>
        <w:t xml:space="preserve">United Kingdom London</w:t>
      </w:r>
      <w:r>
        <w:t xml:space="preserve"> </w:t>
      </w:r>
      <w:r>
        <w:t xml:space="preserve">is governed by a stringent dual-layer regulatory structure. First, practitioners must be registered with the General Medical Council (GMC), adhering to the core principles of "Good Medical Practice." Second, given the location within</w:t>
      </w:r>
      <w:r>
        <w:t xml:space="preserve"> </w:t>
      </w:r>
      <w:r>
        <w:rPr>
          <w:bCs/>
          <w:b/>
        </w:rPr>
        <w:t xml:space="preserve">United Kingdom London</w:t>
      </w:r>
      <w:r>
        <w:t xml:space="preserve">, specific local directives from NHS England and relevant Integrated Care Boards (ICBs) apply. This</w:t>
      </w:r>
      <w:r>
        <w:t xml:space="preserve"> </w:t>
      </w:r>
      <w:r>
        <w:rPr>
          <w:iCs/>
          <w:i/>
        </w:rPr>
        <w:t xml:space="preserve">Ophthalmologist</w:t>
      </w:r>
      <w:r>
        <w:t xml:space="preserve"> </w:t>
      </w:r>
      <w:r>
        <w:t xml:space="preserve">Lab Report explicitly references these regulatory bodies to ensure that all diagnostic data collected is legally admissible and clinically appropriate for public health funding allocation.</w:t>
      </w:r>
    </w:p>
    <w:p>
      <w:pPr>
        <w:pStyle w:val="BodyText"/>
      </w:pPr>
      <w:r>
        <w:t xml:space="preserve">In the context of</w:t>
      </w:r>
      <w:r>
        <w:t xml:space="preserve"> </w:t>
      </w:r>
      <w:r>
        <w:rPr>
          <w:bCs/>
          <w:b/>
        </w:rPr>
        <w:t xml:space="preserve">United Kingdom London</w:t>
      </w:r>
      <w:r>
        <w:t xml:space="preserve">, the integration of private and public care models requires precise documentation. This report details how an ophthalmologist must maintain clear distinctions between NHS-funded treatments and privately funded procedures, ensuring transparency in billing while maintaining patient safety standards. The lab report serves as the audit trail for these interactions, verifying that the clinical indications for specific tests—such as Optical Coherence Tomography (OCT) or visual field analysis—are met according to NICE (National Institute for Health and Care Excellence) guidelines.</w:t>
      </w:r>
    </w:p>
    <w:bookmarkEnd w:id="21"/>
    <w:bookmarkStart w:id="25" w:name="Xe7f9ff3373ada8b27e724437dde0f34eb28b40b"/>
    <w:p>
      <w:pPr>
        <w:pStyle w:val="Heading2"/>
      </w:pPr>
      <w:r>
        <w:t xml:space="preserve">3. Clinical Methodologies and Diagnostic Standards</w:t>
      </w:r>
    </w:p>
    <w:p>
      <w:pPr>
        <w:pStyle w:val="FirstParagraph"/>
      </w:pPr>
      <w:r>
        <w:t xml:space="preserve">The core function of this</w:t>
      </w:r>
      <w:r>
        <w:t xml:space="preserve"> </w:t>
      </w:r>
      <w:r>
        <w:rPr>
          <w:iCs/>
          <w:i/>
        </w:rPr>
        <w:t xml:space="preserve">Ophthalmologist</w:t>
      </w:r>
      <w:r>
        <w:t xml:space="preserve"> </w:t>
      </w:r>
      <w:r>
        <w:t xml:space="preserve">Lab Report is to standardize the presentation of diagnostic findings. In a diverse city like</w:t>
      </w:r>
      <w:r>
        <w:t xml:space="preserve"> </w:t>
      </w:r>
      <w:r>
        <w:rPr>
          <w:bCs/>
          <w:b/>
        </w:rPr>
        <w:t xml:space="preserve">United Kingdom London</w:t>
      </w:r>
      <w:r>
        <w:t xml:space="preserve">, patient demographics vary significantly, affecting disease prevalence rates for conditions such as glaucoma, diabetic retinopathy, and age-related macular degeneration. Consequently, the laboratory reporting system must account for these variations.</w:t>
      </w:r>
    </w:p>
    <w:bookmarkStart w:id="22" w:name="automated-perimetry-reporting"/>
    <w:p>
      <w:pPr>
        <w:pStyle w:val="Heading3"/>
      </w:pPr>
      <w:r>
        <w:t xml:space="preserve">3.1 Automated Perimetry Reporting</w:t>
      </w:r>
    </w:p>
    <w:p>
      <w:pPr>
        <w:pStyle w:val="FirstParagraph"/>
      </w:pPr>
      <w:r>
        <w:t xml:space="preserve">For visual field testing in</w:t>
      </w:r>
      <w:r>
        <w:t xml:space="preserve"> </w:t>
      </w:r>
      <w:r>
        <w:rPr>
          <w:bCs/>
          <w:b/>
        </w:rPr>
        <w:t xml:space="preserve">United Kingdom London</w:t>
      </w:r>
      <w:r>
        <w:t xml:space="preserve">, ophthalmologists must utilize standardized algorithms that minimize false-positive rates among elderly populations who may have cognitive impairments. This</w:t>
      </w:r>
      <w:r>
        <w:t xml:space="preserve"> </w:t>
      </w:r>
      <w:r>
        <w:rPr>
          <w:iCs/>
          <w:i/>
        </w:rPr>
        <w:t xml:space="preserve">Ophthalmologist</w:t>
      </w:r>
      <w:r>
        <w:t xml:space="preserve"> </w:t>
      </w:r>
      <w:r>
        <w:t xml:space="preserve">Lab Report template includes specific sections for reliability indices (fixation losses, false positives, and false negatives), ensuring that the data is robust before a diagnosis of glaucoma or neurological deficit is confirmed.</w:t>
      </w:r>
    </w:p>
    <w:bookmarkEnd w:id="22"/>
    <w:bookmarkStart w:id="23" w:name="X401ae2fb1f7cb4c84b3f0c662a84eb5f346f2ad"/>
    <w:p>
      <w:pPr>
        <w:pStyle w:val="Heading3"/>
      </w:pPr>
      <w:r>
        <w:t xml:space="preserve">3.2 Optical Coherence Tomography (OCT) Analysis</w:t>
      </w:r>
    </w:p>
    <w:p>
      <w:pPr>
        <w:pStyle w:val="FirstParagraph"/>
      </w:pPr>
      <w:r>
        <w:t xml:space="preserve">OCT imaging has revolutionized retinal diagnostics in the UK. The lab report for an ophthalmologist in</w:t>
      </w:r>
      <w:r>
        <w:t xml:space="preserve"> </w:t>
      </w:r>
      <w:r>
        <w:rPr>
          <w:bCs/>
          <w:b/>
        </w:rPr>
        <w:t xml:space="preserve">United Kingdom London</w:t>
      </w:r>
      <w:r>
        <w:t xml:space="preserve"> </w:t>
      </w:r>
      <w:r>
        <w:t xml:space="preserve">must include quantitative measurements of retinal nerve fiber layer (RNFL) thickness and macular volume. These metrics are crucial for monitoring progression in glaucoma patients on NHS waiting lists or those receiving private specialist care.</w:t>
      </w:r>
    </w:p>
    <w:bookmarkEnd w:id="23"/>
    <w:bookmarkStart w:id="24" w:name="digital-retinal-screening"/>
    <w:p>
      <w:pPr>
        <w:pStyle w:val="Heading3"/>
      </w:pPr>
      <w:r>
        <w:t xml:space="preserve">3.3 Digital Retinal Screening</w:t>
      </w:r>
    </w:p>
    <w:p>
      <w:pPr>
        <w:pStyle w:val="FirstParagraph"/>
      </w:pPr>
      <w:r>
        <w:t xml:space="preserve">In</w:t>
      </w:r>
      <w:r>
        <w:t xml:space="preserve"> </w:t>
      </w:r>
      <w:r>
        <w:rPr>
          <w:bCs/>
          <w:b/>
        </w:rPr>
        <w:t xml:space="preserve">United Kingdom London</w:t>
      </w:r>
      <w:r>
        <w:t xml:space="preserve">, diabetic eye screening programs are widespread. This</w:t>
      </w:r>
      <w:r>
        <w:t xml:space="preserve"> </w:t>
      </w:r>
      <w:r>
        <w:rPr>
          <w:iCs/>
          <w:i/>
        </w:rPr>
        <w:t xml:space="preserve">Ophthalmologist</w:t>
      </w:r>
      <w:r>
        <w:t xml:space="preserve"> </w:t>
      </w:r>
      <w:r>
        <w:t xml:space="preserve">Lab Report integrates findings from digital fundus photography, categorizing risk levels according to the Diabetic Eye Screening Programme standards. Accurate grading of retinopathy is essential for determining whether a patient requires immediate referral or routine monitoring.</w:t>
      </w:r>
    </w:p>
    <w:bookmarkEnd w:id="24"/>
    <w:bookmarkEnd w:id="25"/>
    <w:bookmarkStart w:id="26" w:name="X1cf0101f1a4ab3e4fa0aa0b9eaf19c411d2c9df"/>
    <w:p>
      <w:pPr>
        <w:pStyle w:val="Heading2"/>
      </w:pPr>
      <w:r>
        <w:t xml:space="preserve">4. Data Management and Information Governance</w:t>
      </w:r>
    </w:p>
    <w:p>
      <w:pPr>
        <w:pStyle w:val="FirstParagraph"/>
      </w:pPr>
      <w:r>
        <w:t xml:space="preserve">Handling patient data in</w:t>
      </w:r>
      <w:r>
        <w:t xml:space="preserve"> </w:t>
      </w:r>
      <w:r>
        <w:rPr>
          <w:bCs/>
          <w:b/>
        </w:rPr>
        <w:t xml:space="preserve">United Kingdom London</w:t>
      </w:r>
      <w:r>
        <w:t xml:space="preserve"> </w:t>
      </w:r>
      <w:r>
        <w:t xml:space="preserve">requires strict adherence to the UK General Data Protection Regulation (UK GDPR) and the Data Protection Act 2018. This</w:t>
      </w:r>
      <w:r>
        <w:t xml:space="preserve"> </w:t>
      </w:r>
      <w:r>
        <w:rPr>
          <w:iCs/>
          <w:i/>
        </w:rPr>
        <w:t xml:space="preserve">Ophthalmologist</w:t>
      </w:r>
      <w:r>
        <w:t xml:space="preserve">-centric lab report includes protocols for secure data transmission between clinics, optometrists, and hospital eye services.</w:t>
      </w:r>
    </w:p>
    <w:p>
      <w:pPr>
        <w:pStyle w:val="BodyText"/>
      </w:pPr>
      <w:r>
        <w:t xml:space="preserve">In a bustling metropolis like London, interoperability between different healthcare providers is critical. The lab report format is designed to be compatible with electronic health record (EHR) systems commonly used by NHS trusts in the region. This ensures that an ophthalmologist’s findings are instantly accessible to primary care physicians and other specialists, facilitating coordinated care for patients with complex systemic conditions such as hypertension or diabetes.</w:t>
      </w:r>
    </w:p>
    <w:bookmarkEnd w:id="26"/>
    <w:bookmarkStart w:id="27" w:name="X31872d47470525a28e6fc6e092189c8964f51ba"/>
    <w:p>
      <w:pPr>
        <w:pStyle w:val="Heading2"/>
      </w:pPr>
      <w:r>
        <w:t xml:space="preserve">5. Operational Challenges in United Kingdom London</w:t>
      </w:r>
    </w:p>
    <w:p>
      <w:pPr>
        <w:pStyle w:val="FirstParagraph"/>
      </w:pPr>
      <w:r>
        <w:t xml:space="preserve">The delivery of ophthalmologist services in</w:t>
      </w:r>
      <w:r>
        <w:t xml:space="preserve"> </w:t>
      </w:r>
      <w:r>
        <w:rPr>
          <w:bCs/>
          <w:b/>
        </w:rPr>
        <w:t xml:space="preserve">United Kingdom London</w:t>
      </w:r>
      <w:r>
        <w:t xml:space="preserve"> </w:t>
      </w:r>
      <w:r>
        <w:t xml:space="preserve">faces unique operational challenges, including high patient volumes and resource constraints. This lab report addresses these challenges by providing a streamlined documentation process that reduces administrative burden on clinicians. By standardizing the language and structure of the</w:t>
      </w:r>
      <w:r>
        <w:t xml:space="preserve"> </w:t>
      </w:r>
      <w:r>
        <w:rPr>
          <w:iCs/>
          <w:i/>
        </w:rPr>
        <w:t xml:space="preserve">Ophthalmologist</w:t>
      </w:r>
      <w:r>
        <w:t xml:space="preserve"> </w:t>
      </w:r>
      <w:r>
        <w:t xml:space="preserve">Lab Report, errors are minimized, and communication between healthcare professionals is enhanced.</w:t>
      </w:r>
    </w:p>
    <w:p>
      <w:pPr>
        <w:pStyle w:val="BodyText"/>
      </w:pPr>
      <w:r>
        <w:t xml:space="preserve">Furthermore, the report acknowledges the linguistic diversity of London. While this document is in English, it serves as a basis for generating translated summaries for non-English speaking patients to ensure informed consent and understanding of their diagnosis. This cultural competency is vital for effective patient engagement in</w:t>
      </w:r>
      <w:r>
        <w:t xml:space="preserve"> </w:t>
      </w:r>
      <w:r>
        <w:rPr>
          <w:bCs/>
          <w:b/>
        </w:rPr>
        <w:t xml:space="preserve">United Kingdom London</w:t>
      </w:r>
      <w:r>
        <w:t xml:space="preserve">.</w:t>
      </w:r>
    </w:p>
    <w:bookmarkEnd w:id="27"/>
    <w:bookmarkStart w:id="28" w:name="conclusion-and-future-directions"/>
    <w:p>
      <w:pPr>
        <w:pStyle w:val="Heading2"/>
      </w:pPr>
      <w:r>
        <w:t xml:space="preserve">6. Conclusion and Future Directions</w:t>
      </w:r>
    </w:p>
    <w:p>
      <w:pPr>
        <w:pStyle w:val="FirstParagraph"/>
      </w:pPr>
      <w:r>
        <w:t xml:space="preserve">This comprehensive lab report underscores the critical role of standardized documentation in ophthalmic care within</w:t>
      </w:r>
      <w:r>
        <w:t xml:space="preserve"> </w:t>
      </w:r>
      <w:r>
        <w:rPr>
          <w:bCs/>
          <w:b/>
        </w:rPr>
        <w:t xml:space="preserve">United Kingdom London</w:t>
      </w:r>
      <w:r>
        <w:t xml:space="preserve">. By adhering to the rigorous standards outlined for an</w:t>
      </w:r>
      <w:r>
        <w:t xml:space="preserve"> </w:t>
      </w:r>
      <w:r>
        <w:rPr>
          <w:iCs/>
          <w:i/>
        </w:rPr>
        <w:t xml:space="preserve">Ophthalmologist</w:t>
      </w:r>
      <w:r>
        <w:t xml:space="preserve">, healthcare providers can ensure high-quality, equitable, and efficient eye care services. The integration of advanced diagnostic reporting with local regulatory requirements creates a robust framework that benefits both patients and practitioners.</w:t>
      </w:r>
    </w:p>
    <w:p>
      <w:pPr>
        <w:pStyle w:val="BodyText"/>
      </w:pPr>
      <w:r>
        <w:t xml:space="preserve">As technology evolves, future iterations of this</w:t>
      </w:r>
      <w:r>
        <w:t xml:space="preserve"> </w:t>
      </w:r>
      <w:r>
        <w:rPr>
          <w:iCs/>
          <w:i/>
        </w:rPr>
        <w:t xml:space="preserve">Ophthalmologist</w:t>
      </w:r>
      <w:r>
        <w:t xml:space="preserve"> </w:t>
      </w:r>
      <w:r>
        <w:t xml:space="preserve">Lab Report will incorporate artificial intelligence-driven diagnostic tools and telemedicine capabilities, further enhancing the reach and precision of eye care in the dynamic environment of</w:t>
      </w:r>
      <w:r>
        <w:t xml:space="preserve"> </w:t>
      </w:r>
      <w:r>
        <w:rPr>
          <w:bCs/>
          <w:b/>
        </w:rPr>
        <w:t xml:space="preserve">United Kingdom London</w:t>
      </w:r>
      <w:r>
        <w:t xml:space="preserve">. Continuous improvement in these documentation standards remains a priority to maintain London’s status as a global leader in medical innovation and patient-centered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Lab Report: Ophthalmologist Services in United Kingdom London</dc:title>
  <dc:creator/>
  <dc:language>en</dc:language>
  <cp:keywords/>
  <dcterms:created xsi:type="dcterms:W3CDTF">2026-07-29T21:11:30Z</dcterms:created>
  <dcterms:modified xsi:type="dcterms:W3CDTF">2026-07-29T21:11:30Z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