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Ophthalmologist</w:t>
      </w:r>
      <w:r>
        <w:t xml:space="preserve"> </w:t>
      </w:r>
      <w:r>
        <w:t xml:space="preserve">Lab</w:t>
      </w:r>
      <w:r>
        <w:t xml:space="preserve"> </w:t>
      </w:r>
      <w:r>
        <w:t xml:space="preserve">Report</w:t>
      </w:r>
      <w:r>
        <w:t xml:space="preserve"> </w:t>
      </w:r>
      <w:r>
        <w:t xml:space="preserve">-</w:t>
      </w:r>
      <w:r>
        <w:t xml:space="preserve"> </w:t>
      </w:r>
      <w:r>
        <w:t xml:space="preserve">Manchester</w:t>
      </w:r>
    </w:p>
    <w:p>
      <w:pPr>
        <w:pStyle w:val="FirstParagraph"/>
      </w:pPr>
      <w:r>
        <w:t xml:space="preserve">```html</w:t>
      </w:r>
    </w:p>
    <w:bookmarkStart w:id="30" w:name="Xf407e2856a7a41766b4f551d86c656f8e9da433"/>
    <w:p>
      <w:pPr>
        <w:pStyle w:val="Heading1"/>
      </w:pPr>
      <w:r>
        <w:t xml:space="preserve">Comprehensive Diagnostic Laboratory Report for Ophthalmologist Specialized Care in United Kingdom Manchester</w:t>
      </w:r>
    </w:p>
    <w:p>
      <w:pPr>
        <w:pStyle w:val="FirstParagraph"/>
      </w:pPr>
      <w:r>
        <w:rPr>
          <w:bCs/>
          <w:b/>
        </w:rPr>
        <w:t xml:space="preserve">Date of Report:</w:t>
      </w:r>
      <w:r>
        <w:t xml:space="preserve"> </w:t>
      </w:r>
      <w:r>
        <w:t xml:space="preserve">October 26, 2023</w:t>
      </w:r>
      <w:r>
        <w:br/>
      </w:r>
      <w:r>
        <w:rPr>
          <w:bCs/>
          <w:b/>
        </w:rPr>
        <w:t xml:space="preserve">Facility ID:</w:t>
      </w:r>
      <w:r>
        <w:t xml:space="preserve"> </w:t>
      </w:r>
      <w:r>
        <w:t xml:space="preserve">UK-MCR-OPHTH-001</w:t>
      </w:r>
      <w:r>
        <w:br/>
      </w:r>
      <w:r>
        <w:rPr>
          <w:bCs/>
          <w:b/>
        </w:rPr>
        <w:t xml:space="preserve">Patient Reference Code:</w:t>
      </w:r>
      <w:r>
        <w:t xml:space="preserve"> </w:t>
      </w:r>
      <w:r>
        <w:t xml:space="preserve">PRN-8894-XJ</w:t>
      </w:r>
    </w:p>
    <w:bookmarkStart w:id="20" w:name="Xd1e4f3c13c41114e6fb9073b220dfa275bb65ed"/>
    <w:p>
      <w:pPr>
        <w:pStyle w:val="Heading2"/>
      </w:pPr>
      <w:r>
        <w:t xml:space="preserve">1. Introduction and Scope of Ophthalmologist Analysis in United Kingdom Manchester</w:t>
      </w:r>
    </w:p>
    <w:p>
      <w:pPr>
        <w:pStyle w:val="FirstParagraph"/>
      </w:pPr>
      <w:r>
        <w:t xml:space="preserve">This</w:t>
      </w:r>
      <w:r>
        <w:t xml:space="preserve"> </w:t>
      </w:r>
      <w:r>
        <w:t xml:space="preserve">Lab Report</w:t>
      </w:r>
      <w:r>
        <w:t xml:space="preserve"> </w:t>
      </w:r>
      <w:r>
        <w:t xml:space="preserve">serves as a critical diagnostic document designed specifically for the rigorous standards required by an</w:t>
      </w:r>
      <w:r>
        <w:t xml:space="preserve"> </w:t>
      </w:r>
      <w:r>
        <w:t xml:space="preserve">Ophthalmologist</w:t>
      </w:r>
      <w:r>
        <w:t xml:space="preserve"> </w:t>
      </w:r>
      <w:r>
        <w:t xml:space="preserve">practicing within the healthcare framework of the</w:t>
      </w:r>
      <w:r>
        <w:t xml:space="preserve"> </w:t>
      </w:r>
      <w:r>
        <w:rPr>
          <w:iCs/>
          <w:i/>
          <w:bCs/>
          <w:b/>
        </w:rPr>
        <w:t xml:space="preserve">United Kingdom Manchester</w:t>
      </w:r>
      <w:r>
        <w:t xml:space="preserve">. The primary objective of this analysis is to provide a comprehensive synthesis of ocular diagnostic data, visual field assessments, and intraocular pressure (IOP) metrics. In the context of Manchester’s bustling urban health landscape, precise diagnostic clarity is paramount for effective treatment planning.</w:t>
      </w:r>
    </w:p>
    <w:p>
      <w:pPr>
        <w:pStyle w:val="BodyText"/>
      </w:pPr>
      <w:r>
        <w:t xml:space="preserve">The scope of this report covers high-resolution imaging results from Optical Coherence Tomography (OCT), detailed refraction histories, and tonometry readings. These data points are essential for an</w:t>
      </w:r>
      <w:r>
        <w:t xml:space="preserve"> </w:t>
      </w:r>
      <w:r>
        <w:t xml:space="preserve">Ophthalmologist</w:t>
      </w:r>
      <w:r>
        <w:t xml:space="preserve"> </w:t>
      </w:r>
      <w:r>
        <w:t xml:space="preserve">to determine the presence of pathologies such as glaucoma, macular degeneration, or diabetic retinopathy. The specific regional context of</w:t>
      </w:r>
      <w:r>
        <w:t xml:space="preserve"> </w:t>
      </w:r>
      <w:r>
        <w:rPr>
          <w:iCs/>
          <w:i/>
          <w:bCs/>
          <w:b/>
        </w:rPr>
        <w:t xml:space="preserve">United Kingdom Manchester</w:t>
      </w:r>
      <w:r>
        <w:t xml:space="preserve"> </w:t>
      </w:r>
      <w:r>
        <w:t xml:space="preserve">is significant due to its unique demographic health profiles and the specific clinical guidelines mandated by local NHS trusts and private clinics in Greater Manchester.</w:t>
      </w:r>
    </w:p>
    <w:bookmarkEnd w:id="20"/>
    <w:bookmarkStart w:id="21" w:name="X5fc31156e3107a183fc827eefddf9d35eb0a3d8"/>
    <w:p>
      <w:pPr>
        <w:pStyle w:val="Heading2"/>
      </w:pPr>
      <w:r>
        <w:t xml:space="preserve">2. Clinical History and Patient Demographics</w:t>
      </w:r>
    </w:p>
    <w:p>
      <w:pPr>
        <w:pStyle w:val="FirstParagraph"/>
      </w:pPr>
      <w:r>
        <w:t xml:space="preserve">The patient profile presented herein aligns with common epidemiological trends observed in the</w:t>
      </w:r>
      <w:r>
        <w:t xml:space="preserve"> </w:t>
      </w:r>
      <w:r>
        <w:rPr>
          <w:iCs/>
          <w:i/>
          <w:bCs/>
          <w:b/>
        </w:rPr>
        <w:t xml:space="preserve">United Kingdom Manchester</w:t>
      </w:r>
      <w:r>
        <w:t xml:space="preserve"> </w:t>
      </w:r>
      <w:r>
        <w:t xml:space="preserve">region. The subject is a 58-year-old male with a known history of systemic hypertension and Type 2 diabetes mellitus, conditions that significantly elevate the risk for ocular complications. As an</w:t>
      </w:r>
      <w:r>
        <w:t xml:space="preserve"> </w:t>
      </w:r>
      <w:r>
        <w:t xml:space="preserve">Ophthalmologist</w:t>
      </w:r>
      <w:r>
        <w:t xml:space="preserve">, reviewing this systemic background is crucial because ocular health cannot be isolated from general physiological status. The patient reports experiencing intermittent blurred vision and occasional peripheral visual field defects over the past six months.</w:t>
      </w:r>
    </w:p>
    <w:p>
      <w:pPr>
        <w:pStyle w:val="BodyText"/>
      </w:pPr>
      <w:r>
        <w:t xml:space="preserve">Previous interventions in the</w:t>
      </w:r>
      <w:r>
        <w:t xml:space="preserve"> </w:t>
      </w:r>
      <w:r>
        <w:rPr>
          <w:iCs/>
          <w:i/>
          <w:bCs/>
          <w:b/>
        </w:rPr>
        <w:t xml:space="preserve">United Kingdom Manchester</w:t>
      </w:r>
      <w:r>
        <w:t xml:space="preserve"> </w:t>
      </w:r>
      <w:r>
        <w:t xml:space="preserve">healthcare system included routine annual eye exams with optometrists, who referred the patient to a specialist</w:t>
      </w:r>
      <w:r>
        <w:t xml:space="preserve"> </w:t>
      </w:r>
      <w:r>
        <w:t xml:space="preserve">Ophthalmologist</w:t>
      </w:r>
      <w:r>
        <w:t xml:space="preserve"> </w:t>
      </w:r>
      <w:r>
        <w:t xml:space="preserve">due to elevated IOP readings during a routine screening. This referral pathway is standard practice in Manchester, ensuring that patients requiring specialized surgical or medical intervention are triaged efficiently. The patient’s adherence to previous treatment regimens has been variable, necessitating this detailed</w:t>
      </w:r>
      <w:r>
        <w:t xml:space="preserve"> </w:t>
      </w:r>
      <w:r>
        <w:t xml:space="preserve">Lab Report</w:t>
      </w:r>
      <w:r>
        <w:t xml:space="preserve"> </w:t>
      </w:r>
      <w:r>
        <w:t xml:space="preserve">re-evaluation.</w:t>
      </w:r>
    </w:p>
    <w:bookmarkEnd w:id="21"/>
    <w:bookmarkStart w:id="22" w:name="X7b9b6558b2c3867cc48450ca862887f528cc6d5"/>
    <w:p>
      <w:pPr>
        <w:pStyle w:val="Heading2"/>
      </w:pPr>
      <w:r>
        <w:t xml:space="preserve">3. Diagnostic Methodology and Laboratory Procedures</w:t>
      </w:r>
    </w:p>
    <w:p>
      <w:pPr>
        <w:pStyle w:val="FirstParagraph"/>
      </w:pPr>
      <w:r>
        <w:t xml:space="preserve">The data compiled in this</w:t>
      </w:r>
      <w:r>
        <w:t xml:space="preserve"> </w:t>
      </w:r>
      <w:r>
        <w:t xml:space="preserve">Lab Report</w:t>
      </w:r>
      <w:r>
        <w:t xml:space="preserve"> </w:t>
      </w:r>
      <w:r>
        <w:t xml:space="preserve">were obtained using state-of-the-art diagnostic equipment consistent with NHS standards for ophthalmic testing in the</w:t>
      </w:r>
      <w:r>
        <w:t xml:space="preserve"> </w:t>
      </w:r>
      <w:r>
        <w:rPr>
          <w:iCs/>
          <w:i/>
          <w:bCs/>
          <w:b/>
        </w:rPr>
        <w:t xml:space="preserve">United Kingdom Manchester</w:t>
      </w:r>
      <w:r>
        <w:t xml:space="preserve"> </w:t>
      </w:r>
      <w:r>
        <w:t xml:space="preserve">area. The primary methods employed include:</w:t>
      </w:r>
    </w:p>
    <w:p>
      <w:pPr>
        <w:numPr>
          <w:ilvl w:val="0"/>
          <w:numId w:val="1001"/>
        </w:numPr>
        <w:pStyle w:val="Compact"/>
      </w:pPr>
      <w:r>
        <w:rPr>
          <w:bCs/>
          <w:b/>
        </w:rPr>
        <w:t xml:space="preserve">Digital Retinal Photography:</w:t>
      </w:r>
      <w:r>
        <w:t xml:space="preserve"> </w:t>
      </w:r>
      <w:r>
        <w:t xml:space="preserve">High-resolution fundus imaging was utilized to capture detailed views of the retina, optic disc, and macula. This allows the</w:t>
      </w:r>
      <w:r>
        <w:t xml:space="preserve"> </w:t>
      </w:r>
      <w:r>
        <w:t xml:space="preserve">Ophthalmologist</w:t>
      </w:r>
      <w:r>
        <w:t xml:space="preserve"> </w:t>
      </w:r>
      <w:r>
        <w:t xml:space="preserve">to detect microaneurysms or hemorrhages associated with diabetic retinopathy.</w:t>
      </w:r>
    </w:p>
    <w:p>
      <w:pPr>
        <w:numPr>
          <w:ilvl w:val="0"/>
          <w:numId w:val="1001"/>
        </w:numPr>
        <w:pStyle w:val="Compact"/>
      </w:pPr>
      <w:r>
        <w:rPr>
          <w:bCs/>
          <w:b/>
        </w:rPr>
        <w:t xml:space="preserve">OCT Scanning:</w:t>
      </w:r>
      <w:r>
        <w:t xml:space="preserve"> </w:t>
      </w:r>
      <w:r>
        <w:t xml:space="preserve">Optical Coherence Tomography provided cross-sectional images of the retina. This is vital for assessing macular edema or thinning of the nerve fiber layer, a key indicator for glaucoma management in Manchester clinics.</w:t>
      </w:r>
    </w:p>
    <w:p>
      <w:pPr>
        <w:numPr>
          <w:ilvl w:val="0"/>
          <w:numId w:val="1001"/>
        </w:numPr>
        <w:pStyle w:val="Compact"/>
      </w:pPr>
      <w:r>
        <w:rPr>
          <w:bCs/>
          <w:b/>
        </w:rPr>
        <w:t xml:space="preserve">Percussion and Slit-Lamp Biomicroscopy:</w:t>
      </w:r>
      <w:r>
        <w:t xml:space="preserve"> </w:t>
      </w:r>
      <w:r>
        <w:t xml:space="preserve">Physical examinations were conducted to assess anterior segment health, including corneal clarity and lens opacity (cataracts).</w:t>
      </w:r>
    </w:p>
    <w:bookmarkEnd w:id="22"/>
    <w:bookmarkStart w:id="26" w:name="Xbcb83a82b501c7ecd24bae7a4444b1898716f18"/>
    <w:p>
      <w:pPr>
        <w:pStyle w:val="Heading2"/>
      </w:pPr>
      <w:r>
        <w:t xml:space="preserve">4. Key Findings from the Ophthalmologist Evaluation</w:t>
      </w:r>
    </w:p>
    <w:p>
      <w:pPr>
        <w:pStyle w:val="FirstParagraph"/>
      </w:pPr>
      <w:r>
        <w:t xml:space="preserve">The core findings of this</w:t>
      </w:r>
      <w:r>
        <w:t xml:space="preserve"> </w:t>
      </w:r>
      <w:r>
        <w:t xml:space="preserve">Lab Report</w:t>
      </w:r>
      <w:r>
        <w:t xml:space="preserve">, which an</w:t>
      </w:r>
      <w:r>
        <w:t xml:space="preserve"> </w:t>
      </w:r>
      <w:r>
        <w:t xml:space="preserve">Ophthalmologist</w:t>
      </w:r>
      <w:r>
        <w:t xml:space="preserve"> </w:t>
      </w:r>
      <w:r>
        <w:t xml:space="preserve">in the</w:t>
      </w:r>
      <w:r>
        <w:t xml:space="preserve"> </w:t>
      </w:r>
      <w:r>
        <w:rPr>
          <w:iCs/>
          <w:i/>
          <w:bCs/>
          <w:b/>
        </w:rPr>
        <w:t xml:space="preserve">United Kingdom Manchester</w:t>
      </w:r>
      <w:r>
        <w:t xml:space="preserve"> </w:t>
      </w:r>
      <w:r>
        <w:t xml:space="preserve">would rely upon for decision-making, are summarized below:</w:t>
      </w:r>
    </w:p>
    <w:bookmarkStart w:id="23" w:name="intraocular-pressure-iop-metrics"/>
    <w:p>
      <w:pPr>
        <w:pStyle w:val="Heading3"/>
      </w:pPr>
      <w:r>
        <w:t xml:space="preserve">4.1 Intraocular Pressure (IOP) Metrics</w:t>
      </w:r>
    </w:p>
    <w:p>
      <w:pPr>
        <w:pStyle w:val="FirstParagraph"/>
      </w:pPr>
      <w:r>
        <w:t xml:space="preserve">Tonometry measurements revealed an IOP of 24 mmHg in the right eye and 26 mmHg in the left eye. These values are significantly above the normal range (10-21 mmHg). For an</w:t>
      </w:r>
      <w:r>
        <w:t xml:space="preserve"> </w:t>
      </w:r>
      <w:r>
        <w:t xml:space="preserve">Ophthalmologist</w:t>
      </w:r>
      <w:r>
        <w:t xml:space="preserve">, this indicates a high probability of ocular hypertension or early-stage open-angle glaucoma, a prevalent condition requiring urgent attention in Manchester’s aging population.</w:t>
      </w:r>
    </w:p>
    <w:bookmarkEnd w:id="23"/>
    <w:bookmarkStart w:id="24" w:name="optic-nerve-head-assessment"/>
    <w:p>
      <w:pPr>
        <w:pStyle w:val="Heading3"/>
      </w:pPr>
      <w:r>
        <w:t xml:space="preserve">4.2 Optic Nerve Head Assessment</w:t>
      </w:r>
    </w:p>
    <w:p>
      <w:pPr>
        <w:pStyle w:val="FirstParagraph"/>
      </w:pPr>
      <w:r>
        <w:t xml:space="preserve">OCT imaging demonstrates an increased cup-to-disc ratio of 0.7 in both eyes, accompanied by notching of the neuroretinal rim. This structural damage is critical evidence for an</w:t>
      </w:r>
      <w:r>
        <w:t xml:space="preserve"> </w:t>
      </w:r>
      <w:r>
        <w:t xml:space="preserve">Ophthalmologist</w:t>
      </w:r>
      <w:r>
        <w:t xml:space="preserve"> </w:t>
      </w:r>
      <w:r>
        <w:t xml:space="preserve">to justify the initiation or intensification of anti-glaucoma medication therapy.</w:t>
      </w:r>
    </w:p>
    <w:bookmarkEnd w:id="24"/>
    <w:bookmarkStart w:id="25" w:name="visual-field-analysis"/>
    <w:p>
      <w:pPr>
        <w:pStyle w:val="Heading3"/>
      </w:pPr>
      <w:r>
        <w:t xml:space="preserve">4.3 Visual Field Analysis</w:t>
      </w:r>
    </w:p>
    <w:p>
      <w:pPr>
        <w:pStyle w:val="FirstParagraph"/>
      </w:pPr>
      <w:r>
        <w:t xml:space="preserve">Humphrey Visual Field testing shows a 15-decibel mean deviation in the left eye and an 8-decibel mean deviation in the right eye. There is evidence of paracentral scotomas, particularly noticeable in the superior quadrant. These functional deficits corroborate the structural findings and are essential for an</w:t>
      </w:r>
      <w:r>
        <w:t xml:space="preserve"> </w:t>
      </w:r>
      <w:r>
        <w:t xml:space="preserve">Ophthalmologist</w:t>
      </w:r>
      <w:r>
        <w:t xml:space="preserve"> </w:t>
      </w:r>
      <w:r>
        <w:t xml:space="preserve">to monitor disease progression over time within the</w:t>
      </w:r>
      <w:r>
        <w:t xml:space="preserve"> </w:t>
      </w:r>
      <w:r>
        <w:rPr>
          <w:iCs/>
          <w:i/>
          <w:bCs/>
          <w:b/>
        </w:rPr>
        <w:t xml:space="preserve">United Kingdom Manchester</w:t>
      </w:r>
      <w:r>
        <w:t xml:space="preserve"> </w:t>
      </w:r>
      <w:r>
        <w:t xml:space="preserve">healthcare context.</w:t>
      </w:r>
    </w:p>
    <w:bookmarkEnd w:id="25"/>
    <w:bookmarkEnd w:id="26"/>
    <w:bookmarkStart w:id="27" w:name="X0f7edb0ab88ac525e1d5a79be7a776b225dcd09"/>
    <w:p>
      <w:pPr>
        <w:pStyle w:val="Heading2"/>
      </w:pPr>
      <w:r>
        <w:t xml:space="preserve">5. Analysis Specific to United Kingdom Manchester Context</w:t>
      </w:r>
    </w:p>
    <w:p>
      <w:pPr>
        <w:pStyle w:val="FirstParagraph"/>
      </w:pPr>
      <w:r>
        <w:t xml:space="preserve">The interpretation of these results must be contextualized within the specific health infrastructure of</w:t>
      </w:r>
      <w:r>
        <w:t xml:space="preserve"> </w:t>
      </w:r>
      <w:r>
        <w:rPr>
          <w:iCs/>
          <w:i/>
          <w:bCs/>
          <w:b/>
        </w:rPr>
        <w:t xml:space="preserve">United Kingdom Manchester</w:t>
      </w:r>
      <w:r>
        <w:t xml:space="preserve">. The prevalence of diabetes-related eye disease in Greater Manchester is higher than the national average, partly due to socioeconomic factors. Therefore, an</w:t>
      </w:r>
      <w:r>
        <w:t xml:space="preserve"> </w:t>
      </w:r>
      <w:r>
        <w:t xml:space="preserve">Ophthalmologist</w:t>
      </w:r>
      <w:r>
        <w:t xml:space="preserve"> </w:t>
      </w:r>
      <w:r>
        <w:t xml:space="preserve">interpreting this</w:t>
      </w:r>
      <w:r>
        <w:t xml:space="preserve"> </w:t>
      </w:r>
      <w:r>
        <w:t xml:space="preserve">Lab Report</w:t>
      </w:r>
      <w:r>
        <w:t xml:space="preserve"> </w:t>
      </w:r>
      <w:r>
        <w:t xml:space="preserve">must consider social determinants of health when prescribing treatment plans.</w:t>
      </w:r>
    </w:p>
    <w:p>
      <w:pPr>
        <w:pStyle w:val="BodyText"/>
      </w:pPr>
      <w:r>
        <w:t xml:space="preserve">The report notes that follow-up accessibility in Manchester can vary. Consequently, the recommendations prioritize treatments that are stable and manageable within primary care settings where possible, reserving hospital-based ophthalmology services for surgical interventions. This triage efficiency is a cornerstone of healthcare delivery in the</w:t>
      </w:r>
      <w:r>
        <w:t xml:space="preserve"> </w:t>
      </w:r>
      <w:r>
        <w:rPr>
          <w:iCs/>
          <w:i/>
          <w:bCs/>
          <w:b/>
        </w:rPr>
        <w:t xml:space="preserve">United Kingdom Manchester</w:t>
      </w:r>
      <w:r>
        <w:t xml:space="preserve"> </w:t>
      </w:r>
      <w:r>
        <w:t xml:space="preserve">region.</w:t>
      </w:r>
    </w:p>
    <w:bookmarkEnd w:id="27"/>
    <w:bookmarkStart w:id="28" w:name="recommendations-and-treatment-plan"/>
    <w:p>
      <w:pPr>
        <w:pStyle w:val="Heading2"/>
      </w:pPr>
      <w:r>
        <w:t xml:space="preserve">6. Recommendations and Treatment Plan</w:t>
      </w:r>
    </w:p>
    <w:p>
      <w:pPr>
        <w:pStyle w:val="FirstParagraph"/>
      </w:pPr>
      <w:r>
        <w:t xml:space="preserve">Based on the comprehensive data presented in this</w:t>
      </w:r>
      <w:r>
        <w:t xml:space="preserve"> </w:t>
      </w:r>
      <w:r>
        <w:t xml:space="preserve">Lab Report</w:t>
      </w:r>
      <w:r>
        <w:t xml:space="preserve">, the following course of action is recommended for review by the attending</w:t>
      </w:r>
      <w:r>
        <w:t xml:space="preserve"> </w:t>
      </w:r>
      <w:r>
        <w:t xml:space="preserve">Ophthalmologist</w:t>
      </w:r>
      <w:r>
        <w:t xml:space="preserve">:</w:t>
      </w:r>
    </w:p>
    <w:p>
      <w:pPr>
        <w:numPr>
          <w:ilvl w:val="0"/>
          <w:numId w:val="1002"/>
        </w:numPr>
        <w:pStyle w:val="Compact"/>
      </w:pPr>
      <w:r>
        <w:rPr>
          <w:bCs/>
          <w:b/>
        </w:rPr>
        <w:t xml:space="preserve">Pharmacological Intervention:</w:t>
      </w:r>
      <w:r>
        <w:t xml:space="preserve"> </w:t>
      </w:r>
      <w:r>
        <w:t xml:space="preserve">Initiate topical prostaglandin analogs to lower IOP immediately, aiming for a target pressure below 18 mmHg.</w:t>
      </w:r>
    </w:p>
    <w:p>
      <w:pPr>
        <w:numPr>
          <w:ilvl w:val="0"/>
          <w:numId w:val="1002"/>
        </w:numPr>
        <w:pStyle w:val="Compact"/>
      </w:pPr>
      <w:r>
        <w:rPr>
          <w:bCs/>
          <w:b/>
        </w:rPr>
        <w:t xml:space="preserve">Glycemic Control:</w:t>
      </w:r>
      <w:r>
        <w:t xml:space="preserve"> </w:t>
      </w:r>
      <w:r>
        <w:t xml:space="preserve">Collaborate with primary care physicians in Manchester to optimize HbA1c levels, given the strong link between glycemic control and retinal health.</w:t>
      </w:r>
    </w:p>
    <w:p>
      <w:pPr>
        <w:numPr>
          <w:ilvl w:val="0"/>
          <w:numId w:val="1002"/>
        </w:numPr>
        <w:pStyle w:val="Compact"/>
      </w:pPr>
      <w:r>
        <w:rPr>
          <w:bCs/>
          <w:b/>
        </w:rPr>
        <w:t xml:space="preserve">Monitoring Schedule:</w:t>
      </w:r>
      <w:r>
        <w:t xml:space="preserve"> </w:t>
      </w:r>
      <w:r>
        <w:t xml:space="preserve">Repeat OCT and Visual Field testing in three months to assess treatment efficacy. This frequency is standard for</w:t>
      </w:r>
      <w:r>
        <w:t xml:space="preserve"> </w:t>
      </w:r>
      <w:r>
        <w:t xml:space="preserve">Ophthalmologist</w:t>
      </w:r>
      <w:r>
        <w:t xml:space="preserve">-led glaucoma clinics in the</w:t>
      </w:r>
      <w:r>
        <w:t xml:space="preserve"> </w:t>
      </w:r>
      <w:r>
        <w:rPr>
          <w:iCs/>
          <w:i/>
          <w:bCs/>
          <w:b/>
        </w:rPr>
        <w:t xml:space="preserve">United Kingdom Manchester</w:t>
      </w:r>
      <w:r>
        <w:t xml:space="preserve">.</w:t>
      </w:r>
    </w:p>
    <w:p>
      <w:pPr>
        <w:numPr>
          <w:ilvl w:val="0"/>
          <w:numId w:val="1002"/>
        </w:numPr>
        <w:pStyle w:val="Compact"/>
      </w:pPr>
      <w:r>
        <w:rPr>
          <w:bCs/>
          <w:b/>
        </w:rPr>
        <w:t xml:space="preserve">Patient Education:</w:t>
      </w:r>
      <w:r>
        <w:t xml:space="preserve"> </w:t>
      </w:r>
      <w:r>
        <w:t xml:space="preserve">Provide resources specific to local support groups and NHS digital tools available in Greater Manchester to improve medication adherence.</w:t>
      </w:r>
    </w:p>
    <w:bookmarkEnd w:id="28"/>
    <w:bookmarkStart w:id="29" w:name="conclusion"/>
    <w:p>
      <w:pPr>
        <w:pStyle w:val="Heading2"/>
      </w:pPr>
      <w:r>
        <w:t xml:space="preserve">7. Conclusion</w:t>
      </w:r>
    </w:p>
    <w:p>
      <w:pPr>
        <w:pStyle w:val="FirstParagraph"/>
      </w:pPr>
      <w:r>
        <w:t xml:space="preserve">This</w:t>
      </w:r>
      <w:r>
        <w:t xml:space="preserve"> </w:t>
      </w:r>
      <w:r>
        <w:t xml:space="preserve">Lab ReportOphthalmologist</w:t>
      </w:r>
      <w:r>
        <w:t xml:space="preserve">. The findings indicate significant ocular pathology requiring immediate intervention, consistent with the complex caseloads seen in major health centers across the</w:t>
      </w:r>
      <w:r>
        <w:t xml:space="preserve"> </w:t>
      </w:r>
      <w:r>
        <w:rPr>
          <w:iCs/>
          <w:i/>
          <w:bCs/>
          <w:b/>
        </w:rPr>
        <w:t xml:space="preserve">United Kingdom Manchester</w:t>
      </w:r>
      <w:r>
        <w:t xml:space="preserve">. By adhering to these diagnostic standards and regional protocols, healthcare providers can ensure optimal outcomes for patients. The integration of precise laboratory data with localized clinical expertise is essential for maintaining high standards of eye care in this dynamic urban environment.</w:t>
      </w:r>
    </w:p>
    <w:p>
      <w:pPr>
        <w:pStyle w:val="BodyText"/>
      </w:pPr>
      <w:r>
        <w:t xml:space="preserve">The document confirms that the</w:t>
      </w:r>
      <w:r>
        <w:t xml:space="preserve"> </w:t>
      </w:r>
      <w:r>
        <w:t xml:space="preserve">Ophthalmologist</w:t>
      </w:r>
      <w:r>
        <w:t xml:space="preserve"> </w:t>
      </w:r>
      <w:r>
        <w:t xml:space="preserve">has thoroughly analyzed the patient’s condition through this</w:t>
      </w:r>
      <w:r>
        <w:t xml:space="preserve"> </w:t>
      </w:r>
      <w:r>
        <w:t xml:space="preserve">Lab Report</w:t>
      </w:r>
      <w:r>
        <w:t xml:space="preserve">, ensuring that all recommendations are tailored to the specific medical and social realities of living in Manchester, United Kingdom. Further monitoring will be conducted to ensure the efficacy of the proposed treatment plan.</w:t>
      </w:r>
    </w:p>
    <w:p>
      <w:r>
        <w:pict>
          <v:rect style="width:0;height:1.5pt" o:hralign="center" o:hrstd="t" o:hr="t"/>
        </w:pict>
      </w:r>
    </w:p>
    <w:p>
      <w:pPr>
        <w:pStyle w:val="FirstParagraph"/>
      </w:pPr>
      <w:r>
        <w:rPr>
          <w:bCs/>
          <w:b/>
        </w:rPr>
        <w:t xml:space="preserve">Disclaimer:</w:t>
      </w:r>
      <w:r>
        <w:t xml:space="preserve"> </w:t>
      </w:r>
      <w:r>
        <w:t xml:space="preserve">This document is a simulated Lab Report for educational and structural demonstration purposes regarding Ophthalmologist practices in United Kingdom Manchester. It does not constitute real medical advice.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Ophthalmologist Lab Report - Manchester</dc:title>
  <dc:creator/>
  <dc:language>en</dc:language>
  <cp:keywords/>
  <dcterms:created xsi:type="dcterms:W3CDTF">2026-07-29T17:16:03Z</dcterms:created>
  <dcterms:modified xsi:type="dcterms:W3CDTF">2026-07-29T17:16:03Z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